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Тульской области от 26.03.2026 N 170</w:t>
              <w:br/>
              <w:t xml:space="preserve">"Об утверждении Стратегии социально-экономического развития Тульской области до 2030 года с перспективой до 2036 года"</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21.09.2026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ПРАВИТЕЛЬСТВО ТУЛЬСКОЙ ОБЛАСТИ</w:t>
      </w:r>
    </w:p>
    <w:p>
      <w:pPr>
        <w:pStyle w:val="2"/>
        <w:jc w:val="both"/>
      </w:pPr>
      <w:r>
        <w:rPr>
          <w:sz w:val="20"/>
        </w:rPr>
      </w:r>
    </w:p>
    <w:p>
      <w:pPr>
        <w:pStyle w:val="2"/>
        <w:jc w:val="center"/>
      </w:pPr>
      <w:r>
        <w:rPr>
          <w:sz w:val="20"/>
        </w:rPr>
        <w:t xml:space="preserve">ПОСТАНОВЛЕНИЕ</w:t>
      </w:r>
    </w:p>
    <w:p>
      <w:pPr>
        <w:pStyle w:val="2"/>
        <w:jc w:val="center"/>
      </w:pPr>
      <w:r>
        <w:rPr>
          <w:sz w:val="20"/>
        </w:rPr>
        <w:t xml:space="preserve">от 26 марта 2026 г. N 170</w:t>
      </w:r>
    </w:p>
    <w:p>
      <w:pPr>
        <w:pStyle w:val="2"/>
        <w:jc w:val="both"/>
      </w:pPr>
      <w:r>
        <w:rPr>
          <w:sz w:val="20"/>
        </w:rPr>
      </w:r>
    </w:p>
    <w:p>
      <w:pPr>
        <w:pStyle w:val="2"/>
        <w:jc w:val="center"/>
      </w:pPr>
      <w:r>
        <w:rPr>
          <w:sz w:val="20"/>
        </w:rPr>
        <w:t xml:space="preserve">ОБ УТВЕРЖДЕНИИ СТРАТЕГИИ СОЦИАЛЬНО-ЭКОНОМИЧЕСКОГО РАЗВИТИЯ</w:t>
      </w:r>
    </w:p>
    <w:p>
      <w:pPr>
        <w:pStyle w:val="2"/>
        <w:jc w:val="center"/>
      </w:pPr>
      <w:r>
        <w:rPr>
          <w:sz w:val="20"/>
        </w:rPr>
        <w:t xml:space="preserve">ТУЛЬСКОЙ ОБЛАСТИ ДО 2030 ГОДА С ПЕРСПЕКТИВОЙ ДО 2036 ГОДА</w:t>
      </w:r>
    </w:p>
    <w:p>
      <w:pPr>
        <w:pStyle w:val="0"/>
      </w:pPr>
      <w:r>
        <w:rPr>
          <w:sz w:val="20"/>
        </w:rPr>
      </w:r>
    </w:p>
    <w:p>
      <w:pPr>
        <w:pStyle w:val="0"/>
        <w:ind w:firstLine="540"/>
        <w:jc w:val="both"/>
      </w:pPr>
      <w:r>
        <w:rPr>
          <w:sz w:val="20"/>
        </w:rPr>
        <w:t xml:space="preserve">В соответствии со </w:t>
      </w:r>
      <w:hyperlink w:history="0" r:id="rId8"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статьей 32</w:t>
        </w:r>
      </w:hyperlink>
      <w:r>
        <w:rPr>
          <w:sz w:val="20"/>
        </w:rPr>
        <w:t xml:space="preserve"> Федерального закона от 28 июня 2014 года N 172-ФЗ "О стратегическом планировании в Российской Федерации", с </w:t>
      </w:r>
      <w:hyperlink w:history="0" r:id="rId9" w:tooltip="Закон Тульской области от 26.02.2016 N 8-ЗТО (ред. от 29.11.2022) &quot;О стратегическом планировании в Тульской области&quot; (принят Тульской областной Думой 25.02.2016) {КонсультантПлюс}">
        <w:r>
          <w:rPr>
            <w:sz w:val="20"/>
            <w:color w:val="0000ff"/>
          </w:rPr>
          <w:t xml:space="preserve">Законом</w:t>
        </w:r>
      </w:hyperlink>
      <w:r>
        <w:rPr>
          <w:sz w:val="20"/>
        </w:rPr>
        <w:t xml:space="preserve"> Тульской области от 26 февраля 2016 года N 8-ЗТО "О стратегическом планировании в Тульской области", на основании </w:t>
      </w:r>
      <w:hyperlink w:history="0" r:id="rId10" w:tooltip="Закон Тульской области от 27.05.2022 N 36-ЗТО (ред. от 18.07.2025) &quot;Устав (Основной Закон) Тульской области&quot; (принят Тульской областной Думой 26.05.2022) {КонсультантПлюс}">
        <w:r>
          <w:rPr>
            <w:sz w:val="20"/>
            <w:color w:val="0000ff"/>
          </w:rPr>
          <w:t xml:space="preserve">статьи 46</w:t>
        </w:r>
      </w:hyperlink>
      <w:r>
        <w:rPr>
          <w:sz w:val="20"/>
        </w:rPr>
        <w:t xml:space="preserve"> Устава (Основного Закона) Тульской области Правительство Тульской области постановляет:</w:t>
      </w:r>
    </w:p>
    <w:p>
      <w:pPr>
        <w:pStyle w:val="0"/>
        <w:spacing w:before="200" w:lineRule="auto"/>
        <w:ind w:firstLine="540"/>
        <w:jc w:val="both"/>
      </w:pPr>
      <w:r>
        <w:rPr>
          <w:sz w:val="20"/>
        </w:rPr>
        <w:t xml:space="preserve">1. Утвердить </w:t>
      </w:r>
      <w:hyperlink w:history="0" w:anchor="P27" w:tooltip="СТРАТЕГИЯ">
        <w:r>
          <w:rPr>
            <w:sz w:val="20"/>
            <w:color w:val="0000ff"/>
          </w:rPr>
          <w:t xml:space="preserve">Стратегию</w:t>
        </w:r>
      </w:hyperlink>
      <w:r>
        <w:rPr>
          <w:sz w:val="20"/>
        </w:rPr>
        <w:t xml:space="preserve"> социально-экономического развития Тульской области до 2030 года с перспективой до 2036 года (приложение).</w:t>
      </w:r>
    </w:p>
    <w:p>
      <w:pPr>
        <w:pStyle w:val="0"/>
        <w:spacing w:before="200" w:lineRule="auto"/>
        <w:ind w:firstLine="540"/>
        <w:jc w:val="both"/>
      </w:pPr>
      <w:r>
        <w:rPr>
          <w:sz w:val="20"/>
        </w:rPr>
        <w:t xml:space="preserve">2. Постановление вступает в силу со дня официального опубликования.</w:t>
      </w:r>
    </w:p>
    <w:p>
      <w:pPr>
        <w:pStyle w:val="0"/>
      </w:pPr>
      <w:r>
        <w:rPr>
          <w:sz w:val="20"/>
        </w:rPr>
      </w:r>
    </w:p>
    <w:p>
      <w:pPr>
        <w:pStyle w:val="0"/>
        <w:jc w:val="right"/>
      </w:pPr>
      <w:r>
        <w:rPr>
          <w:sz w:val="20"/>
        </w:rPr>
        <w:t xml:space="preserve">Первый заместитель Губернатора</w:t>
      </w:r>
    </w:p>
    <w:p>
      <w:pPr>
        <w:pStyle w:val="0"/>
        <w:jc w:val="right"/>
      </w:pPr>
      <w:r>
        <w:rPr>
          <w:sz w:val="20"/>
        </w:rPr>
        <w:t xml:space="preserve">Тульской области - председатель</w:t>
      </w:r>
    </w:p>
    <w:p>
      <w:pPr>
        <w:pStyle w:val="0"/>
        <w:jc w:val="right"/>
      </w:pPr>
      <w:r>
        <w:rPr>
          <w:sz w:val="20"/>
        </w:rPr>
        <w:t xml:space="preserve">Правительства Тульской области</w:t>
      </w:r>
    </w:p>
    <w:p>
      <w:pPr>
        <w:pStyle w:val="0"/>
        <w:jc w:val="right"/>
      </w:pPr>
      <w:r>
        <w:rPr>
          <w:sz w:val="20"/>
        </w:rPr>
        <w:t xml:space="preserve">М.Ю.ПАНТЕЛЕЕВ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w:t>
      </w:r>
    </w:p>
    <w:p>
      <w:pPr>
        <w:pStyle w:val="0"/>
        <w:jc w:val="right"/>
      </w:pPr>
      <w:r>
        <w:rPr>
          <w:sz w:val="20"/>
        </w:rPr>
        <w:t xml:space="preserve">к Постановлению Правительства</w:t>
      </w:r>
    </w:p>
    <w:p>
      <w:pPr>
        <w:pStyle w:val="0"/>
        <w:jc w:val="right"/>
      </w:pPr>
      <w:r>
        <w:rPr>
          <w:sz w:val="20"/>
        </w:rPr>
        <w:t xml:space="preserve">Тульской области</w:t>
      </w:r>
    </w:p>
    <w:p>
      <w:pPr>
        <w:pStyle w:val="0"/>
        <w:jc w:val="right"/>
      </w:pPr>
      <w:r>
        <w:rPr>
          <w:sz w:val="20"/>
        </w:rPr>
        <w:t xml:space="preserve">от 26.03.2026 N 170</w:t>
      </w:r>
    </w:p>
    <w:p>
      <w:pPr>
        <w:pStyle w:val="0"/>
      </w:pPr>
      <w:r>
        <w:rPr>
          <w:sz w:val="20"/>
        </w:rPr>
      </w:r>
    </w:p>
    <w:bookmarkStart w:id="27" w:name="P27"/>
    <w:bookmarkEnd w:id="27"/>
    <w:p>
      <w:pPr>
        <w:pStyle w:val="2"/>
        <w:jc w:val="center"/>
      </w:pPr>
      <w:r>
        <w:rPr>
          <w:sz w:val="20"/>
        </w:rPr>
        <w:t xml:space="preserve">СТРАТЕГИЯ</w:t>
      </w:r>
    </w:p>
    <w:p>
      <w:pPr>
        <w:pStyle w:val="2"/>
        <w:jc w:val="center"/>
      </w:pPr>
      <w:r>
        <w:rPr>
          <w:sz w:val="20"/>
        </w:rPr>
        <w:t xml:space="preserve">СОЦИАЛЬНО-ЭКОНОМИЧЕСКОГО РАЗВИТИЯ ТУЛЬСКОЙ ОБЛАСТИ</w:t>
      </w:r>
    </w:p>
    <w:p>
      <w:pPr>
        <w:pStyle w:val="2"/>
        <w:jc w:val="center"/>
      </w:pPr>
      <w:r>
        <w:rPr>
          <w:sz w:val="20"/>
        </w:rPr>
        <w:t xml:space="preserve">ДО 2030 ГОДА С ПЕРСПЕКТИВОЙ ДО 2036 ГОДА</w:t>
      </w:r>
    </w:p>
    <w:p>
      <w:pPr>
        <w:pStyle w:val="0"/>
      </w:pPr>
      <w:r>
        <w:rPr>
          <w:sz w:val="20"/>
        </w:rPr>
      </w:r>
    </w:p>
    <w:p>
      <w:pPr>
        <w:pStyle w:val="2"/>
        <w:outlineLvl w:val="1"/>
        <w:jc w:val="center"/>
      </w:pPr>
      <w:r>
        <w:rPr>
          <w:sz w:val="20"/>
        </w:rPr>
        <w:t xml:space="preserve">1. Вводная часть</w:t>
      </w:r>
    </w:p>
    <w:p>
      <w:pPr>
        <w:pStyle w:val="0"/>
      </w:pPr>
      <w:r>
        <w:rPr>
          <w:sz w:val="20"/>
        </w:rPr>
      </w:r>
    </w:p>
    <w:p>
      <w:pPr>
        <w:pStyle w:val="0"/>
        <w:ind w:firstLine="540"/>
        <w:jc w:val="both"/>
      </w:pPr>
      <w:r>
        <w:rPr>
          <w:sz w:val="20"/>
        </w:rPr>
        <w:t xml:space="preserve">Стратегия социально-экономического развития Тульской области до 2030 года с перспективой до 2036 года (далее - Стратегия) определяет приоритеты, цели и задачи социально-экономического развития Тульской области и направлена на обеспечение устойчивых темпов развития экономики Тульской области и улучшение качества жизни ее жителей.</w:t>
      </w:r>
    </w:p>
    <w:p>
      <w:pPr>
        <w:pStyle w:val="0"/>
        <w:spacing w:before="200" w:lineRule="auto"/>
        <w:ind w:firstLine="540"/>
        <w:jc w:val="both"/>
      </w:pPr>
      <w:r>
        <w:rPr>
          <w:sz w:val="20"/>
        </w:rPr>
        <w:t xml:space="preserve">Стратегия разработана на основании нормативных правовых актов и документов стратегического планирования федерального и регионального уровней </w:t>
      </w:r>
      <w:hyperlink w:history="0" w:anchor="P2693" w:tooltip="НОРМАТИВНЫЕ ПРАВОВЫЕ АКТЫ">
        <w:r>
          <w:rPr>
            <w:sz w:val="20"/>
            <w:color w:val="0000ff"/>
          </w:rPr>
          <w:t xml:space="preserve">(приложение N 1)</w:t>
        </w:r>
      </w:hyperlink>
      <w:r>
        <w:rPr>
          <w:sz w:val="20"/>
        </w:rPr>
        <w:t xml:space="preserve">.</w:t>
      </w:r>
    </w:p>
    <w:p>
      <w:pPr>
        <w:pStyle w:val="0"/>
        <w:spacing w:before="200" w:lineRule="auto"/>
        <w:ind w:firstLine="540"/>
        <w:jc w:val="both"/>
      </w:pPr>
      <w:r>
        <w:rPr>
          <w:sz w:val="20"/>
        </w:rPr>
        <w:t xml:space="preserve">Реализация Стратегии обеспечивается путем:</w:t>
      </w:r>
    </w:p>
    <w:p>
      <w:pPr>
        <w:pStyle w:val="0"/>
        <w:spacing w:before="200" w:lineRule="auto"/>
        <w:ind w:firstLine="540"/>
        <w:jc w:val="both"/>
      </w:pPr>
      <w:r>
        <w:rPr>
          <w:sz w:val="20"/>
        </w:rPr>
        <w:t xml:space="preserve">разработки документов стратегического планирования Тульской области, в том числе стратегий, концепций, планов мероприятий ("дорожных карт");</w:t>
      </w:r>
    </w:p>
    <w:p>
      <w:pPr>
        <w:pStyle w:val="0"/>
        <w:spacing w:before="200" w:lineRule="auto"/>
        <w:ind w:firstLine="540"/>
        <w:jc w:val="both"/>
      </w:pPr>
      <w:r>
        <w:rPr>
          <w:sz w:val="20"/>
        </w:rPr>
        <w:t xml:space="preserve">реализации государственных программ Тульской области;</w:t>
      </w:r>
    </w:p>
    <w:p>
      <w:pPr>
        <w:pStyle w:val="0"/>
        <w:spacing w:before="200" w:lineRule="auto"/>
        <w:ind w:firstLine="540"/>
        <w:jc w:val="both"/>
      </w:pPr>
      <w:r>
        <w:rPr>
          <w:sz w:val="20"/>
        </w:rPr>
        <w:t xml:space="preserve">исполнения соглашений, заключенных от имени Тульской области, исполнительных органов Тульской области с федеральными органами исполнительной власти Российской Федерации, субъектами Российской Федерации, иными лицами;</w:t>
      </w:r>
    </w:p>
    <w:p>
      <w:pPr>
        <w:pStyle w:val="0"/>
        <w:spacing w:before="200" w:lineRule="auto"/>
        <w:ind w:firstLine="540"/>
        <w:jc w:val="both"/>
      </w:pPr>
      <w:r>
        <w:rPr>
          <w:sz w:val="20"/>
        </w:rPr>
        <w:t xml:space="preserve">внедрения региональных стандартов, рекомендованных Правительством Российской Федерации, в том числе инвестиционного стандарта, экспортного стандарта, социального стандарта.</w:t>
      </w:r>
    </w:p>
    <w:p>
      <w:pPr>
        <w:pStyle w:val="0"/>
        <w:spacing w:before="200" w:lineRule="auto"/>
        <w:ind w:firstLine="540"/>
        <w:jc w:val="both"/>
      </w:pPr>
      <w:r>
        <w:rPr>
          <w:sz w:val="20"/>
        </w:rPr>
        <w:t xml:space="preserve">Управление Стратегией осуществляется посредством программно-целевого и проектного подхода, предусматривающего реализацию Плана мероприятий по реализации Стратегии социально-экономического развития Тульской области до 2030 года с перспективой до 2036 года.</w:t>
      </w:r>
    </w:p>
    <w:p>
      <w:pPr>
        <w:pStyle w:val="0"/>
      </w:pPr>
      <w:r>
        <w:rPr>
          <w:sz w:val="20"/>
        </w:rPr>
      </w:r>
    </w:p>
    <w:p>
      <w:pPr>
        <w:pStyle w:val="2"/>
        <w:outlineLvl w:val="2"/>
        <w:jc w:val="center"/>
      </w:pPr>
      <w:r>
        <w:rPr>
          <w:sz w:val="20"/>
        </w:rPr>
        <w:t xml:space="preserve">1.1. Историческая справка</w:t>
      </w:r>
    </w:p>
    <w:p>
      <w:pPr>
        <w:pStyle w:val="0"/>
      </w:pPr>
      <w:r>
        <w:rPr>
          <w:sz w:val="20"/>
        </w:rPr>
      </w:r>
    </w:p>
    <w:p>
      <w:pPr>
        <w:pStyle w:val="0"/>
        <w:ind w:firstLine="540"/>
        <w:jc w:val="both"/>
      </w:pPr>
      <w:r>
        <w:rPr>
          <w:sz w:val="20"/>
        </w:rPr>
        <w:t xml:space="preserve">Тульская область, расположенная в центре Европейской части России, является одним из стратегических российских регионов, который на протяжении столетий выполняет функцию "южных ворот", арсенала, щита и "оружейной мастерской" России.</w:t>
      </w:r>
    </w:p>
    <w:p>
      <w:pPr>
        <w:pStyle w:val="0"/>
        <w:spacing w:before="200" w:lineRule="auto"/>
        <w:ind w:firstLine="540"/>
        <w:jc w:val="both"/>
      </w:pPr>
      <w:r>
        <w:rPr>
          <w:sz w:val="20"/>
        </w:rPr>
        <w:t xml:space="preserve">Куликовская битва, произошедшая на юго-востоке Тульской области в 1380 году, предопределила политическое и экономическое возрождение средневековой Руси. В начале XVI века Тульские земли присоединены к Великому княжеству Московскому. В середине того же века в Туле основано оружейное дело, впоследствии оформленное указами Петра I в качестве одной из главных задач развития города и окружающих его поселений. В 1796 году учреждена Тульская губерния, ставшая развитым промышленным регионом со своей знаковой продукцией - оружие, железные изделия, гармони, пряники, самовары. К концу XVIII века Тула стала одним из главных центров отечественной тяжелой и оборонной промышленности.</w:t>
      </w:r>
    </w:p>
    <w:p>
      <w:pPr>
        <w:pStyle w:val="0"/>
        <w:spacing w:before="200" w:lineRule="auto"/>
        <w:ind w:firstLine="540"/>
        <w:jc w:val="both"/>
      </w:pPr>
      <w:r>
        <w:rPr>
          <w:sz w:val="20"/>
        </w:rPr>
        <w:t xml:space="preserve">В период испытаний и трудностей Тульская область всегда являлась опорой России. За проявленные туляками во время Великой Отечественной войны при обороне города стойкость, мужество и храбрость Тула удостоена почетного звания "Город-герой".</w:t>
      </w:r>
    </w:p>
    <w:p>
      <w:pPr>
        <w:pStyle w:val="0"/>
        <w:spacing w:before="200" w:lineRule="auto"/>
        <w:ind w:firstLine="540"/>
        <w:jc w:val="both"/>
      </w:pPr>
      <w:r>
        <w:rPr>
          <w:sz w:val="20"/>
        </w:rPr>
        <w:t xml:space="preserve">В советскую эпоху Тульская область стала одним из центров индустриализации во многом благодаря сложившемуся промышленному потенциалу. В регионе созданы крупные предприятия общенационального значения, масштабные энергетические мощности, развитая транспортная и инженерная инфраструктура, многочисленные учебные заведения и объекты социальной сферы.</w:t>
      </w:r>
    </w:p>
    <w:p>
      <w:pPr>
        <w:pStyle w:val="0"/>
        <w:spacing w:before="200" w:lineRule="auto"/>
        <w:ind w:firstLine="540"/>
        <w:jc w:val="both"/>
      </w:pPr>
      <w:r>
        <w:rPr>
          <w:sz w:val="20"/>
        </w:rPr>
        <w:t xml:space="preserve">В XXI веке Тульская область продолжает оставаться одним из ключевых регионов Центрального федерального округа (далее - ЦФО), важнейшим центром оборонной промышленности, гражданского машиностроения, металлургического и химического производства, автомобилестроения, пищевой промышленности и ряда других отраслей.</w:t>
      </w:r>
    </w:p>
    <w:p>
      <w:pPr>
        <w:pStyle w:val="0"/>
        <w:spacing w:before="200" w:lineRule="auto"/>
        <w:ind w:firstLine="540"/>
        <w:jc w:val="both"/>
      </w:pPr>
      <w:r>
        <w:rPr>
          <w:sz w:val="20"/>
        </w:rPr>
        <w:t xml:space="preserve">Широкий спектр видов промышленного производства обеспечивает высокую устойчивость экономики Тульской области перед внешними и внутренними потрясениями.</w:t>
      </w:r>
    </w:p>
    <w:p>
      <w:pPr>
        <w:pStyle w:val="0"/>
        <w:spacing w:before="200" w:lineRule="auto"/>
        <w:ind w:firstLine="540"/>
        <w:jc w:val="both"/>
      </w:pPr>
      <w:r>
        <w:rPr>
          <w:sz w:val="20"/>
        </w:rPr>
        <w:t xml:space="preserve">Текущее внешнеполитическое напряжение, замедление мировых темпов экономического роста - вызов не только экономическому благополучию государства, но и его фундаментальным основам. Тульская область в данных условиях должна стать центром подготовки кадров и создания новых технологий промышленности для страны, местом силы и отдыха.</w:t>
      </w:r>
    </w:p>
    <w:p>
      <w:pPr>
        <w:pStyle w:val="0"/>
      </w:pPr>
      <w:r>
        <w:rPr>
          <w:sz w:val="20"/>
        </w:rPr>
      </w:r>
    </w:p>
    <w:p>
      <w:pPr>
        <w:pStyle w:val="2"/>
        <w:outlineLvl w:val="2"/>
        <w:jc w:val="center"/>
      </w:pPr>
      <w:r>
        <w:rPr>
          <w:sz w:val="20"/>
        </w:rPr>
        <w:t xml:space="preserve">1.2. Характеристика социально-экономического развития</w:t>
      </w:r>
    </w:p>
    <w:p>
      <w:pPr>
        <w:pStyle w:val="2"/>
        <w:jc w:val="center"/>
      </w:pPr>
      <w:r>
        <w:rPr>
          <w:sz w:val="20"/>
        </w:rPr>
        <w:t xml:space="preserve">Тульской области</w:t>
      </w:r>
    </w:p>
    <w:p>
      <w:pPr>
        <w:pStyle w:val="0"/>
      </w:pPr>
      <w:r>
        <w:rPr>
          <w:sz w:val="20"/>
        </w:rPr>
      </w:r>
    </w:p>
    <w:p>
      <w:pPr>
        <w:pStyle w:val="0"/>
        <w:ind w:firstLine="540"/>
        <w:jc w:val="both"/>
      </w:pPr>
      <w:r>
        <w:rPr>
          <w:sz w:val="20"/>
        </w:rPr>
        <w:t xml:space="preserve">Численность населения Тульской области по состоянию на 1 января 2025 года составила 1,457 млн. человек - порядка 1% от численности населения России.</w:t>
      </w:r>
    </w:p>
    <w:p>
      <w:pPr>
        <w:pStyle w:val="0"/>
        <w:spacing w:before="200" w:lineRule="auto"/>
        <w:ind w:firstLine="540"/>
        <w:jc w:val="both"/>
      </w:pPr>
      <w:r>
        <w:rPr>
          <w:sz w:val="20"/>
        </w:rPr>
        <w:t xml:space="preserve">По итогам 2024 года объем валового регионального продукта (далее - ВРП) составил 1,3 трлн рублей - рост на 4,5% к предыдущему году.</w:t>
      </w:r>
    </w:p>
    <w:p>
      <w:pPr>
        <w:pStyle w:val="0"/>
        <w:spacing w:before="200" w:lineRule="auto"/>
        <w:ind w:firstLine="540"/>
        <w:jc w:val="both"/>
      </w:pPr>
      <w:r>
        <w:rPr>
          <w:sz w:val="20"/>
        </w:rPr>
        <w:t xml:space="preserve">По данным за 2025 год в регионе производится 2,4% от общероссийского выпуска обрабатывающей промышленности (9-е место в Российской Федерации и 3-е место в ЦФО); 0,7% - от суммарного ВРП Российской Федерации согласно данным за 2024 год. Главная экономическая специализация Тульской области - обрабатывающее производство, его доля по данным за 2024 год в ВРП составляет 42,3%.</w:t>
      </w:r>
    </w:p>
    <w:p>
      <w:pPr>
        <w:pStyle w:val="0"/>
        <w:spacing w:before="200" w:lineRule="auto"/>
        <w:ind w:firstLine="540"/>
        <w:jc w:val="both"/>
      </w:pPr>
      <w:r>
        <w:rPr>
          <w:sz w:val="20"/>
        </w:rPr>
        <w:t xml:space="preserve">Объем отгруженной продукции промышленного производства за 2025 год составил около 2,2 трлн рублей, что в 1,9 раза больше объема отгруженной продукции по итогам 2021 года (в действующих ценах).</w:t>
      </w:r>
    </w:p>
    <w:p>
      <w:pPr>
        <w:pStyle w:val="0"/>
        <w:spacing w:before="200" w:lineRule="auto"/>
        <w:ind w:firstLine="540"/>
        <w:jc w:val="both"/>
      </w:pPr>
      <w:r>
        <w:rPr>
          <w:sz w:val="20"/>
        </w:rPr>
        <w:t xml:space="preserve">Индекс промышленного производства показывает положительную динамику и существенно превышает среднероссийские показатели: по итогам 2025 года значение показателя составило 108,5% к уровню 2024 года (в сопоставимых ценах) - 2 место в ЦФО и 10 место в Российской Федерации.</w:t>
      </w:r>
    </w:p>
    <w:p>
      <w:pPr>
        <w:pStyle w:val="0"/>
        <w:spacing w:before="200" w:lineRule="auto"/>
        <w:ind w:firstLine="540"/>
        <w:jc w:val="both"/>
      </w:pPr>
      <w:r>
        <w:rPr>
          <w:sz w:val="20"/>
        </w:rPr>
        <w:t xml:space="preserve">Объем производства продукции сельского хозяйства в Тульской области в 2025 году составил 148,6 млрд. рублей, что в 1,3 раза выше уровня 2021 года (в действующих ценах). Индекс производства продукции сельского хозяйства составил 111,5% (4 место в ЦФО и 12 место в Российской Федерации).</w:t>
      </w:r>
    </w:p>
    <w:p>
      <w:pPr>
        <w:pStyle w:val="0"/>
        <w:spacing w:before="200" w:lineRule="auto"/>
        <w:ind w:firstLine="540"/>
        <w:jc w:val="both"/>
      </w:pPr>
      <w:r>
        <w:rPr>
          <w:sz w:val="20"/>
        </w:rPr>
        <w:t xml:space="preserve">Объем инвестиций в основной капитал, привлеченных в экономику региона с 2022 по 2025 годы, превысил 1,0 трлн рублей. В действующих ценах объем инвестиций в 2025 году увеличился в 1,7 раза относительно уровня 2021 года.</w:t>
      </w:r>
    </w:p>
    <w:p>
      <w:pPr>
        <w:pStyle w:val="0"/>
        <w:spacing w:before="200" w:lineRule="auto"/>
        <w:ind w:firstLine="540"/>
        <w:jc w:val="both"/>
      </w:pPr>
      <w:r>
        <w:rPr>
          <w:sz w:val="20"/>
        </w:rPr>
        <w:t xml:space="preserve">За 2025 год в экономику региона вложено 306,7 млрд. рублей инвестиций (4 место в ЦФО и 33 место в Российской Федерации) - рост в сопоставимых ценах на 2,0% к уровню 2024 года.</w:t>
      </w:r>
    </w:p>
    <w:p>
      <w:pPr>
        <w:pStyle w:val="0"/>
        <w:spacing w:before="200" w:lineRule="auto"/>
        <w:ind w:firstLine="540"/>
        <w:jc w:val="both"/>
      </w:pPr>
      <w:r>
        <w:rPr>
          <w:sz w:val="20"/>
        </w:rPr>
        <w:t xml:space="preserve">За период с 2022 по 2025 годы введено 3,9 млн. кв. метров жилья. За 2025 год ввод жилья составил 1006,5 тыс. кв. м (5 место в ЦФО и 31 место в Российской Федерации).</w:t>
      </w:r>
    </w:p>
    <w:p>
      <w:pPr>
        <w:pStyle w:val="0"/>
        <w:spacing w:before="200" w:lineRule="auto"/>
        <w:ind w:firstLine="540"/>
        <w:jc w:val="both"/>
      </w:pPr>
      <w:r>
        <w:rPr>
          <w:sz w:val="20"/>
        </w:rPr>
        <w:t xml:space="preserve">Среднемесячная номинальная начисленная заработная плата по итогам 2025 года увеличилась на 39,5 тыс. рублей (в 1,9 раза) относительно уровня 2021 года и составила 84,2 тыс. рублей (3 место в ЦФО и 28 место в Российской Федерации).</w:t>
      </w:r>
    </w:p>
    <w:p>
      <w:pPr>
        <w:pStyle w:val="0"/>
        <w:spacing w:before="200" w:lineRule="auto"/>
        <w:ind w:firstLine="540"/>
        <w:jc w:val="both"/>
      </w:pPr>
      <w:r>
        <w:rPr>
          <w:sz w:val="20"/>
        </w:rPr>
        <w:t xml:space="preserve">С 2022 по 2025 годы доходы консолидированного бюджета Тульской области стабильно растут: по итогам 2025 года объем доходов бюджета составил 193,0 млрд. рублей, что выше уровня 2021 года в 1,5 раза (на 61,7 млрд. рублей). Собственные доходы бюджета за 2025 год составили 171,8 млрд. рублей, что в 1,7 раза (на 73,1 млрд. рублей) больше значения за 2021 год.</w:t>
      </w:r>
    </w:p>
    <w:p>
      <w:pPr>
        <w:pStyle w:val="0"/>
        <w:spacing w:before="200" w:lineRule="auto"/>
        <w:ind w:firstLine="540"/>
        <w:jc w:val="both"/>
      </w:pPr>
      <w:r>
        <w:rPr>
          <w:sz w:val="20"/>
        </w:rPr>
        <w:t xml:space="preserve">Значение Тульской области для Российской Федерации наглядно иллюстрируется ее высокими показателями в различных российских рейтингах.</w:t>
      </w:r>
    </w:p>
    <w:p>
      <w:pPr>
        <w:pStyle w:val="0"/>
      </w:pPr>
      <w:r>
        <w:rPr>
          <w:sz w:val="20"/>
        </w:rPr>
      </w:r>
    </w:p>
    <w:p>
      <w:pPr>
        <w:pStyle w:val="2"/>
        <w:outlineLvl w:val="2"/>
        <w:jc w:val="center"/>
      </w:pPr>
      <w:r>
        <w:rPr>
          <w:sz w:val="20"/>
        </w:rPr>
        <w:t xml:space="preserve">1.3. Проблемы социально-экономического развития Тульской</w:t>
      </w:r>
    </w:p>
    <w:p>
      <w:pPr>
        <w:pStyle w:val="2"/>
        <w:jc w:val="center"/>
      </w:pPr>
      <w:r>
        <w:rPr>
          <w:sz w:val="20"/>
        </w:rPr>
        <w:t xml:space="preserve">области. Конкурентные преимущества Тульской области</w:t>
      </w:r>
    </w:p>
    <w:p>
      <w:pPr>
        <w:pStyle w:val="0"/>
      </w:pPr>
      <w:r>
        <w:rPr>
          <w:sz w:val="20"/>
        </w:rPr>
      </w:r>
    </w:p>
    <w:p>
      <w:pPr>
        <w:pStyle w:val="0"/>
        <w:ind w:firstLine="540"/>
        <w:jc w:val="both"/>
      </w:pPr>
      <w:r>
        <w:rPr>
          <w:sz w:val="20"/>
        </w:rPr>
        <w:t xml:space="preserve">Социально-экономическая ситуация в Тульской области может быстро меняться под воздействием различных внешних и внутренних факторов, в том числе экономических кризисов разной природы, что требует учета всех конкурентных преимуществ, ограничений и слабостей, возможностей для развития, рисков и угроз.</w:t>
      </w:r>
    </w:p>
    <w:p>
      <w:pPr>
        <w:pStyle w:val="0"/>
        <w:spacing w:before="200" w:lineRule="auto"/>
        <w:ind w:firstLine="540"/>
        <w:jc w:val="both"/>
      </w:pPr>
      <w:r>
        <w:rPr>
          <w:sz w:val="20"/>
        </w:rPr>
        <w:t xml:space="preserve">SWOT-анализ Тульской области приведен в таблице 1.</w:t>
      </w:r>
    </w:p>
    <w:p>
      <w:pPr>
        <w:pStyle w:val="0"/>
      </w:pPr>
      <w:r>
        <w:rPr>
          <w:sz w:val="20"/>
        </w:rPr>
      </w:r>
    </w:p>
    <w:p>
      <w:pPr>
        <w:pStyle w:val="0"/>
        <w:jc w:val="right"/>
      </w:pPr>
      <w:r>
        <w:rPr>
          <w:sz w:val="20"/>
        </w:rPr>
        <w:t xml:space="preserve">Таблица 1</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023"/>
        <w:gridCol w:w="4025"/>
      </w:tblGrid>
      <w:tr>
        <w:tc>
          <w:tcPr>
            <w:tcW w:w="5023" w:type="dxa"/>
          </w:tcPr>
          <w:p>
            <w:pPr>
              <w:pStyle w:val="0"/>
              <w:jc w:val="center"/>
            </w:pPr>
            <w:r>
              <w:rPr>
                <w:sz w:val="20"/>
              </w:rPr>
              <w:t xml:space="preserve">Конкурентные преимущества Тульской области</w:t>
            </w:r>
          </w:p>
        </w:tc>
        <w:tc>
          <w:tcPr>
            <w:tcW w:w="4025" w:type="dxa"/>
          </w:tcPr>
          <w:p>
            <w:pPr>
              <w:pStyle w:val="0"/>
              <w:jc w:val="center"/>
            </w:pPr>
            <w:r>
              <w:rPr>
                <w:sz w:val="20"/>
              </w:rPr>
              <w:t xml:space="preserve">Слабые места Тульской области</w:t>
            </w:r>
          </w:p>
        </w:tc>
      </w:tr>
      <w:tr>
        <w:tc>
          <w:tcPr>
            <w:tcW w:w="5023" w:type="dxa"/>
          </w:tcPr>
          <w:p>
            <w:pPr>
              <w:pStyle w:val="0"/>
            </w:pPr>
            <w:r>
              <w:rPr>
                <w:sz w:val="20"/>
              </w:rPr>
              <w:t xml:space="preserve">1) Экономико-географические особенности:</w:t>
            </w:r>
          </w:p>
          <w:p>
            <w:pPr>
              <w:pStyle w:val="0"/>
            </w:pPr>
            <w:r>
              <w:rPr>
                <w:sz w:val="20"/>
              </w:rPr>
              <w:t xml:space="preserve">близость к крупнейшему рынку Российской Федерации - рынку московского региона;</w:t>
            </w:r>
          </w:p>
          <w:p>
            <w:pPr>
              <w:pStyle w:val="0"/>
            </w:pPr>
            <w:r>
              <w:rPr>
                <w:sz w:val="20"/>
              </w:rPr>
              <w:t xml:space="preserve">низкие по сравнению с московским регионом издержки, связанные с размещением новых производств (за счет более низкой цены на землю, арендной платы за пользование недвижимостью, оплаты труда);</w:t>
            </w:r>
          </w:p>
          <w:p>
            <w:pPr>
              <w:pStyle w:val="0"/>
            </w:pPr>
            <w:r>
              <w:rPr>
                <w:sz w:val="20"/>
              </w:rPr>
              <w:t xml:space="preserve">удачное расположение по отношению к ключевым для России транспортным коридорам. Возможность обслуживать масштабные транзитные грузовые потоки, включая экспортно-импортные;</w:t>
            </w:r>
          </w:p>
          <w:p>
            <w:pPr>
              <w:pStyle w:val="0"/>
            </w:pPr>
            <w:r>
              <w:rPr>
                <w:sz w:val="20"/>
              </w:rPr>
              <w:t xml:space="preserve">природно-климатические условия, благоприятные для ведения эффективного аграрного производства;</w:t>
            </w:r>
          </w:p>
          <w:p>
            <w:pPr>
              <w:pStyle w:val="0"/>
            </w:pPr>
            <w:r>
              <w:rPr>
                <w:sz w:val="20"/>
              </w:rPr>
              <w:t xml:space="preserve">наличие привлекательных природных ландшафтов и многочисленных культурно-исторических достопримечательностей.</w:t>
            </w:r>
          </w:p>
          <w:p>
            <w:pPr>
              <w:pStyle w:val="0"/>
            </w:pPr>
            <w:r>
              <w:rPr>
                <w:sz w:val="20"/>
              </w:rPr>
              <w:t xml:space="preserve">2) Особенности отраслевой структуры:</w:t>
            </w:r>
          </w:p>
          <w:p>
            <w:pPr>
              <w:pStyle w:val="0"/>
            </w:pPr>
            <w:r>
              <w:rPr>
                <w:sz w:val="20"/>
              </w:rPr>
              <w:t xml:space="preserve">диверсифицированный характер региональной экономики, помогающий снизить уязвимость по отношению к внешним рискам;</w:t>
            </w:r>
          </w:p>
          <w:p>
            <w:pPr>
              <w:pStyle w:val="0"/>
            </w:pPr>
            <w:r>
              <w:rPr>
                <w:sz w:val="20"/>
              </w:rPr>
              <w:t xml:space="preserve">наличие отраслей - лидеров, обладающих мощным потенциалом и высоким уровнем развития, - машиностроение, химическая и пищевая промышленность, черная металлургия, агропромышленный комплекс;</w:t>
            </w:r>
          </w:p>
          <w:p>
            <w:pPr>
              <w:pStyle w:val="0"/>
            </w:pPr>
            <w:r>
              <w:rPr>
                <w:sz w:val="20"/>
              </w:rPr>
              <w:t xml:space="preserve">наличие ряда отраслей с хорошими рыночными перспективами - гражданского машиностроения, аграрно-промышленного комплекса, туризма и рекреационной сферы;</w:t>
            </w:r>
          </w:p>
          <w:p>
            <w:pPr>
              <w:pStyle w:val="0"/>
            </w:pPr>
            <w:r>
              <w:rPr>
                <w:sz w:val="20"/>
              </w:rPr>
              <w:t xml:space="preserve">наличие крупных предприятий промышленного комплекса, конструкторских бюро, инновационных институтов и научно - образовательных учреждений, способных обеспечить массовый трансфер высоких технологий в другие секторы экономики.</w:t>
            </w:r>
          </w:p>
          <w:p>
            <w:pPr>
              <w:pStyle w:val="0"/>
            </w:pPr>
            <w:r>
              <w:rPr>
                <w:sz w:val="20"/>
              </w:rPr>
              <w:t xml:space="preserve">3) Инфраструктура:</w:t>
            </w:r>
          </w:p>
          <w:p>
            <w:pPr>
              <w:pStyle w:val="0"/>
            </w:pPr>
            <w:r>
              <w:rPr>
                <w:sz w:val="20"/>
              </w:rPr>
              <w:t xml:space="preserve">наличие наиболее развитой в ЦФО (за исключением Московской области) транспортной сети, прежде всего, железных дорог и автомобильных магистралей, соединяющих Тульскую область с другими регионами, что снижает уровень транспортных издержек тульских производителей, повышает инвестиционную привлекательность региона и позволяет получать доходы от обслуживания транзитных перевозок;</w:t>
            </w:r>
          </w:p>
          <w:p>
            <w:pPr>
              <w:pStyle w:val="0"/>
            </w:pPr>
            <w:r>
              <w:rPr>
                <w:sz w:val="20"/>
              </w:rPr>
              <w:t xml:space="preserve">приемлемый уровень энергообеспеченности, хорошие сетевые связи с энергоизбыточными регионами, относительно высокий уровень газификации региона</w:t>
            </w:r>
          </w:p>
        </w:tc>
        <w:tc>
          <w:tcPr>
            <w:tcW w:w="4025" w:type="dxa"/>
          </w:tcPr>
          <w:p>
            <w:pPr>
              <w:pStyle w:val="0"/>
            </w:pPr>
            <w:r>
              <w:rPr>
                <w:sz w:val="20"/>
              </w:rPr>
              <w:t xml:space="preserve">Неблагоприятная демографическая структура населения (один из самых высоких в Российской Федерации средний возраст населения, неблагоприятное соотношение показателей естественного прироста населения, относительно низкая доля молодежи) ограничивает трудовой потенциал экономики Тульской области и увеличивает нагрузку на его бюджет, повышая потребность в расходах социального характера.</w:t>
            </w:r>
          </w:p>
          <w:p>
            <w:pPr>
              <w:pStyle w:val="0"/>
            </w:pPr>
            <w:r>
              <w:rPr>
                <w:sz w:val="20"/>
              </w:rPr>
              <w:t xml:space="preserve">Наличие мощной конкуренции за качественные трудовые ресурсы со стороны московского региона, влекущая отток из Тульской области молодежи и высококвалифицированных работников.</w:t>
            </w:r>
          </w:p>
          <w:p>
            <w:pPr>
              <w:pStyle w:val="0"/>
            </w:pPr>
            <w:r>
              <w:rPr>
                <w:sz w:val="20"/>
              </w:rPr>
              <w:t xml:space="preserve">Недостаточно высокий средний уровень доходов населения Тульской области (45-й в Российской Федерации), ограничивающий масштабы внутреннего спроса и способствующий оттоку работников в другие регионы.</w:t>
            </w:r>
          </w:p>
          <w:p>
            <w:pPr>
              <w:pStyle w:val="0"/>
            </w:pPr>
            <w:r>
              <w:rPr>
                <w:sz w:val="20"/>
              </w:rPr>
              <w:t xml:space="preserve">Неравномерность развития территории Тульской области, наличие анклавов, где не преодолены депрессивные социально-экономические тенденции, наличие территорий с "чернобыльским следом", откуда продолжается отток населения</w:t>
            </w:r>
          </w:p>
        </w:tc>
      </w:tr>
      <w:tr>
        <w:tc>
          <w:tcPr>
            <w:tcW w:w="5023" w:type="dxa"/>
          </w:tcPr>
          <w:p>
            <w:pPr>
              <w:pStyle w:val="0"/>
            </w:pPr>
            <w:r>
              <w:rPr>
                <w:sz w:val="20"/>
              </w:rPr>
              <w:t xml:space="preserve">Возможности для развития, ожидаемые в будущем положительные сдвиги в экономической динамике и инвестиционной привлекательности Тульской области</w:t>
            </w:r>
          </w:p>
        </w:tc>
        <w:tc>
          <w:tcPr>
            <w:tcW w:w="4025" w:type="dxa"/>
          </w:tcPr>
          <w:p>
            <w:pPr>
              <w:pStyle w:val="0"/>
            </w:pPr>
            <w:r>
              <w:rPr>
                <w:sz w:val="20"/>
              </w:rPr>
              <w:t xml:space="preserve">Риски и угрозы, возможные в будущем отрицательные сдвиги в экономической ситуации и инвестиционной привлекательности Тульской области</w:t>
            </w:r>
          </w:p>
        </w:tc>
      </w:tr>
      <w:tr>
        <w:tc>
          <w:tcPr>
            <w:tcW w:w="5023" w:type="dxa"/>
          </w:tcPr>
          <w:p>
            <w:pPr>
              <w:pStyle w:val="0"/>
            </w:pPr>
            <w:r>
              <w:rPr>
                <w:sz w:val="20"/>
              </w:rPr>
              <w:t xml:space="preserve">Сохранение повышенного спроса на продукцию машиностроения в среднесрочной перспективе (не менее 5 - 7 лет).</w:t>
            </w:r>
          </w:p>
          <w:p>
            <w:pPr>
              <w:pStyle w:val="0"/>
            </w:pPr>
            <w:r>
              <w:rPr>
                <w:sz w:val="20"/>
              </w:rPr>
              <w:t xml:space="preserve">Масштабный рост производства инновационной продукции за счет трансфера высоких технологий из оборонно-промышленного комплекса (далее - ОПК) в гражданские отрасли и импортозамещение.</w:t>
            </w:r>
          </w:p>
          <w:p>
            <w:pPr>
              <w:pStyle w:val="0"/>
            </w:pPr>
            <w:r>
              <w:rPr>
                <w:sz w:val="20"/>
              </w:rPr>
              <w:t xml:space="preserve">Создание новых анклавов роста, выпускающих высокотехнологичную продукцию (в том числе за счет создания инновационного научно-технологического центра "Инновационный научно-технологический центр "Композитная долина", научно-образовательного центра мирового уровня "ТулаТЕХ").</w:t>
            </w:r>
          </w:p>
          <w:p>
            <w:pPr>
              <w:pStyle w:val="0"/>
            </w:pPr>
            <w:r>
              <w:rPr>
                <w:sz w:val="20"/>
              </w:rPr>
              <w:t xml:space="preserve">Хорошие перспективы дальнейшего развития транспортной инфраструктуры Тульской области (включая модернизацию и обустройство автотрасс М-2 и М-4, планируемое в долгосрочной перспективе строительство высокоскоростной железнодорожной магистрали на юг России через территорию Тульской области, а также модернизацию сети региональных дорог).</w:t>
            </w:r>
          </w:p>
          <w:p>
            <w:pPr>
              <w:pStyle w:val="0"/>
            </w:pPr>
            <w:r>
              <w:rPr>
                <w:sz w:val="20"/>
              </w:rPr>
              <w:t xml:space="preserve">Реализация крупных инвестиционных проектов в машиностроении, химии и нефтехимии, черной металлургии и агропромышленном комплексе, что существенно увеличит производственный потенциал и налоговые доходы области, а также трудовые доходы населения.</w:t>
            </w:r>
          </w:p>
          <w:p>
            <w:pPr>
              <w:pStyle w:val="0"/>
            </w:pPr>
            <w:r>
              <w:rPr>
                <w:sz w:val="20"/>
              </w:rPr>
              <w:t xml:space="preserve">Дальнейшая цифровизация и автоматизация производственных и бюрократических процессов; быстрое повышение производительности труда и снижения трансакционных издержек для тульского бизнеса</w:t>
            </w:r>
          </w:p>
        </w:tc>
        <w:tc>
          <w:tcPr>
            <w:tcW w:w="4025" w:type="dxa"/>
          </w:tcPr>
          <w:p>
            <w:pPr>
              <w:pStyle w:val="0"/>
            </w:pPr>
            <w:r>
              <w:rPr>
                <w:sz w:val="20"/>
              </w:rPr>
              <w:t xml:space="preserve">Сохранение антироссийских санкций на длительный период; продолжение трудностей с доступом к высоким технологиям, качественной технике и комплектующим иностранного производства.</w:t>
            </w:r>
          </w:p>
          <w:p>
            <w:pPr>
              <w:pStyle w:val="0"/>
            </w:pPr>
            <w:r>
              <w:rPr>
                <w:sz w:val="20"/>
              </w:rPr>
              <w:t xml:space="preserve">Возможное замедление темпов роста российской экономики, связанное как с новыми внешними шоками (такими, например, как падение мировых цен на нефть).</w:t>
            </w:r>
          </w:p>
          <w:p>
            <w:pPr>
              <w:pStyle w:val="0"/>
            </w:pPr>
            <w:r>
              <w:rPr>
                <w:sz w:val="20"/>
              </w:rPr>
              <w:t xml:space="preserve">Задержки с переориентацией оборонных производств на выпуск продукции двойного и гражданского назначения.</w:t>
            </w:r>
          </w:p>
          <w:p>
            <w:pPr>
              <w:pStyle w:val="0"/>
            </w:pPr>
            <w:r>
              <w:rPr>
                <w:sz w:val="20"/>
              </w:rPr>
              <w:t xml:space="preserve">Дальнейшее сокращение численности трудовых ресурсов.</w:t>
            </w:r>
          </w:p>
          <w:p>
            <w:pPr>
              <w:pStyle w:val="0"/>
            </w:pPr>
            <w:r>
              <w:rPr>
                <w:sz w:val="20"/>
              </w:rPr>
              <w:t xml:space="preserve">Возможное усиление энергетических ограничений (в случае закрытия ряда устаревших энергетических мощностей на территории области).</w:t>
            </w:r>
          </w:p>
          <w:p>
            <w:pPr>
              <w:pStyle w:val="0"/>
            </w:pPr>
            <w:r>
              <w:rPr>
                <w:sz w:val="20"/>
              </w:rPr>
              <w:t xml:space="preserve">Ужесточение экологических ограничений (в рамках климатической повестки), влекущее рост затрат в химии, черной металлургии и других отраслях с экологически напряженными производствами</w:t>
            </w:r>
          </w:p>
        </w:tc>
      </w:tr>
    </w:tbl>
    <w:p>
      <w:pPr>
        <w:pStyle w:val="0"/>
      </w:pPr>
      <w:r>
        <w:rPr>
          <w:sz w:val="20"/>
        </w:rPr>
      </w:r>
    </w:p>
    <w:p>
      <w:pPr>
        <w:pStyle w:val="0"/>
        <w:ind w:firstLine="540"/>
        <w:jc w:val="both"/>
      </w:pPr>
      <w:r>
        <w:rPr>
          <w:sz w:val="20"/>
        </w:rPr>
        <w:t xml:space="preserve">Несмотря на существующие проблемы, можно утверждать, что Тульская область обладает потенциалом, позволяющим ей стать в ближайшие годы одним из лидеров социально-экономического развития Российской Федерации. Такому развитию событий будут способствовать следующие обстоятельства:</w:t>
      </w:r>
    </w:p>
    <w:p>
      <w:pPr>
        <w:pStyle w:val="0"/>
        <w:spacing w:before="200" w:lineRule="auto"/>
        <w:ind w:firstLine="540"/>
        <w:jc w:val="both"/>
      </w:pPr>
      <w:r>
        <w:rPr>
          <w:sz w:val="20"/>
        </w:rPr>
        <w:t xml:space="preserve">повышение импортозамещения, особенно в сфере высокотехнологичной продукции, и, как следствие, быстрое наращивание спроса на продукцию тульского машиностроительного, химического и аграрно-промышленного комплексов;</w:t>
      </w:r>
    </w:p>
    <w:p>
      <w:pPr>
        <w:pStyle w:val="0"/>
        <w:spacing w:before="200" w:lineRule="auto"/>
        <w:ind w:firstLine="540"/>
        <w:jc w:val="both"/>
      </w:pPr>
      <w:r>
        <w:rPr>
          <w:sz w:val="20"/>
        </w:rPr>
        <w:t xml:space="preserve">создание и развитие точек роста в сфере прорывных инновационных технологий (беспилотные системы, новые композитные материалы и т.д.), а также в сферах автопрома, IT-сектора, туризма;</w:t>
      </w:r>
    </w:p>
    <w:p>
      <w:pPr>
        <w:pStyle w:val="0"/>
        <w:spacing w:before="200" w:lineRule="auto"/>
        <w:ind w:firstLine="540"/>
        <w:jc w:val="both"/>
      </w:pPr>
      <w:r>
        <w:rPr>
          <w:sz w:val="20"/>
        </w:rPr>
        <w:t xml:space="preserve">опережающий рост спроса на тульские товары и услуги в связи с высокими темпами социально-экономического развития в московской агломерации. Кроме того, в целях экономии затрат компании московского региона все чаще переносят часть своих бизнес-процессов в Тульскую область, а также расширяют применение удаленной занятости с использованием тульских работников.</w:t>
      </w:r>
    </w:p>
    <w:p>
      <w:pPr>
        <w:pStyle w:val="0"/>
      </w:pPr>
      <w:r>
        <w:rPr>
          <w:sz w:val="20"/>
        </w:rPr>
      </w:r>
    </w:p>
    <w:p>
      <w:pPr>
        <w:pStyle w:val="2"/>
        <w:outlineLvl w:val="2"/>
        <w:jc w:val="center"/>
      </w:pPr>
      <w:r>
        <w:rPr>
          <w:sz w:val="20"/>
        </w:rPr>
        <w:t xml:space="preserve">1.4. Факторы, влияющие на социально-экономическое развитие</w:t>
      </w:r>
    </w:p>
    <w:p>
      <w:pPr>
        <w:pStyle w:val="2"/>
        <w:jc w:val="center"/>
      </w:pPr>
      <w:r>
        <w:rPr>
          <w:sz w:val="20"/>
        </w:rPr>
        <w:t xml:space="preserve">Тульской области</w:t>
      </w:r>
    </w:p>
    <w:p>
      <w:pPr>
        <w:pStyle w:val="0"/>
      </w:pPr>
      <w:r>
        <w:rPr>
          <w:sz w:val="20"/>
        </w:rPr>
      </w:r>
    </w:p>
    <w:p>
      <w:pPr>
        <w:pStyle w:val="0"/>
        <w:ind w:firstLine="540"/>
        <w:jc w:val="both"/>
      </w:pPr>
      <w:r>
        <w:rPr>
          <w:sz w:val="20"/>
        </w:rPr>
        <w:t xml:space="preserve">На социально-экономическое развитие Тульской области влияют следующие факторы.</w:t>
      </w:r>
    </w:p>
    <w:p>
      <w:pPr>
        <w:pStyle w:val="0"/>
        <w:spacing w:before="200" w:lineRule="auto"/>
        <w:ind w:firstLine="540"/>
        <w:jc w:val="both"/>
      </w:pPr>
      <w:r>
        <w:rPr>
          <w:sz w:val="20"/>
        </w:rPr>
        <w:t xml:space="preserve">Политические факторы. Тульская область входит в число регионов с устойчивой политической ситуацией, что обеспечивает предсказуемость регуляторной среды для бизнеса и населения, а также упрощает доступ к федеральным программам развития, включая инфраструктурные и социальные проекты. Административная модель характеризуется относительно высокой управляемостью, что создает условия для реализации стратегических инициатив. Вместе с тем, требуется привлечение федеральной политической и финансовой поддержки по ключевым направлениям развития (крупные инвестиционные проекты).</w:t>
      </w:r>
    </w:p>
    <w:p>
      <w:pPr>
        <w:pStyle w:val="0"/>
        <w:spacing w:before="200" w:lineRule="auto"/>
        <w:ind w:firstLine="540"/>
        <w:jc w:val="both"/>
      </w:pPr>
      <w:r>
        <w:rPr>
          <w:sz w:val="20"/>
        </w:rPr>
        <w:t xml:space="preserve">Экономические факторы. Экономика имеет выраженную индустриальную специализацию с доминированием обрабатывающих производств, в том числе машиностроения, химического и металлургического комплексов, а также развитым сегментом производства строительных материалов и пищевой промышленности. Такая структура, с одной стороны, позволяет иметь темпы роста выше среднероссийских, с другой - повышает уязвимость к колебаниям гособоронзаказа и антироссийским санкциям технологического характера. Положительным фактором является выгодное геоэкономическое положение - близость к рынкам Москвы и Московской области, наличие развитых транспортных коридоров, возможность обслуживать мощные транзитные потоки. Ограничивающими факторами выступают дефицит квалифицированных трудовых ресурсов (порождаемый в том числе оттоком рабочей силы в Москву и Московскую область), неравномерность территориального развития, малые масштабы спроса внутри Тульской области.</w:t>
      </w:r>
    </w:p>
    <w:p>
      <w:pPr>
        <w:pStyle w:val="0"/>
        <w:spacing w:before="200" w:lineRule="auto"/>
        <w:ind w:firstLine="540"/>
        <w:jc w:val="both"/>
      </w:pPr>
      <w:r>
        <w:rPr>
          <w:sz w:val="20"/>
        </w:rPr>
        <w:t xml:space="preserve">Социальные факторы. Демографическая ситуация соответствует общефедеральным тенденциям: продолжается естественная убыль населения и старение возрастной структуры, что формирует долгосрочный запрос на повышение эффективности системы здравоохранения, развитие геронтологической и реабилитационной инфраструктуры. При этом в Туле и крупных муниципальных образованиях Тульской области сохраняется концентрация квалифицированных кадров, развитая сеть учреждений среднего профессионального образования и высшего профессионального образования, что позволяет удовлетворять потребности региональной экономики при условии обновления образовательных программ под запросы высокотехнологичных производств. Важным социальным вызовом остается необходимость выравнивания качества городской и сельской среды, а также значительного сокращения объемов аварийного и ветхого жилья.</w:t>
      </w:r>
    </w:p>
    <w:p>
      <w:pPr>
        <w:pStyle w:val="0"/>
        <w:spacing w:before="200" w:lineRule="auto"/>
        <w:ind w:firstLine="540"/>
        <w:jc w:val="both"/>
      </w:pPr>
      <w:r>
        <w:rPr>
          <w:sz w:val="20"/>
        </w:rPr>
        <w:t xml:space="preserve">Технологические факторы. Тульская область обладает прочными заделами в высокоточных и машиностроительных технологиях, сформированными исторически в рамках оборонно-промышленной специализации, что создает основу для технологической диверсификации, в том числе в кооперации с федеральными центрами компетенций. В то же время технологический контур региона в значительной мере неоднороден: часть предприятий работает на модернизированном оборудовании и встраивается в цепочки с высокой долей научно-исследовательской и опытно-конструкторской работы, другая часть сохраняет традиционные, менее производительные технологии, что сдерживает общую производительность труда. Включение региона в федеральные программы технологического обновления и развитие индустриальных площадок, в том числе особой экономической зоны и территорий опережающего социально-экономического развития, могут стать ключевыми факторами, позволяющими существенно повысить технологический уровень производства и обеспечить дополнительные конкурентные преимущества для региона.</w:t>
      </w:r>
    </w:p>
    <w:p>
      <w:pPr>
        <w:pStyle w:val="0"/>
        <w:spacing w:before="200" w:lineRule="auto"/>
        <w:ind w:firstLine="540"/>
        <w:jc w:val="both"/>
      </w:pPr>
      <w:r>
        <w:rPr>
          <w:sz w:val="20"/>
        </w:rPr>
        <w:t xml:space="preserve">Факторы пространственного развития. За последние 15 - 20 лет удалось серьезно улучшить качество жизни на территории всех муниципальных образований Тульской области. Вместе с тем, наблюдается неравномерность развития территорий Тульской области. В городах с высокоразвитой промышленностью (город Тула, город Новомосковск, город Узловая, город Щекино) уровень доступности рабочих мест и уровень оплаты труда существенно выше.</w:t>
      </w:r>
    </w:p>
    <w:p>
      <w:pPr>
        <w:pStyle w:val="0"/>
        <w:spacing w:before="200" w:lineRule="auto"/>
        <w:ind w:firstLine="540"/>
        <w:jc w:val="both"/>
      </w:pPr>
      <w:r>
        <w:rPr>
          <w:sz w:val="20"/>
        </w:rPr>
        <w:t xml:space="preserve">Аналогичным образом обстоят дела с качеством жизни. В этой связи необходимо:</w:t>
      </w:r>
    </w:p>
    <w:p>
      <w:pPr>
        <w:pStyle w:val="0"/>
        <w:spacing w:before="200" w:lineRule="auto"/>
        <w:ind w:firstLine="540"/>
        <w:jc w:val="both"/>
      </w:pPr>
      <w:r>
        <w:rPr>
          <w:sz w:val="20"/>
        </w:rPr>
        <w:t xml:space="preserve">повысить качество питьевой воды за счет модернизации водопроводных систем;</w:t>
      </w:r>
    </w:p>
    <w:p>
      <w:pPr>
        <w:pStyle w:val="0"/>
        <w:spacing w:before="200" w:lineRule="auto"/>
        <w:ind w:firstLine="540"/>
        <w:jc w:val="both"/>
      </w:pPr>
      <w:r>
        <w:rPr>
          <w:sz w:val="20"/>
        </w:rPr>
        <w:t xml:space="preserve">модернизировать существующие и построить новые очистные сооружения и канализационные системы;</w:t>
      </w:r>
    </w:p>
    <w:p>
      <w:pPr>
        <w:pStyle w:val="0"/>
        <w:spacing w:before="200" w:lineRule="auto"/>
        <w:ind w:firstLine="540"/>
        <w:jc w:val="both"/>
      </w:pPr>
      <w:r>
        <w:rPr>
          <w:sz w:val="20"/>
        </w:rPr>
        <w:t xml:space="preserve">модернизировать местные газовые и электрические сети;</w:t>
      </w:r>
    </w:p>
    <w:p>
      <w:pPr>
        <w:pStyle w:val="0"/>
        <w:spacing w:before="200" w:lineRule="auto"/>
        <w:ind w:firstLine="540"/>
        <w:jc w:val="both"/>
      </w:pPr>
      <w:r>
        <w:rPr>
          <w:sz w:val="20"/>
        </w:rPr>
        <w:t xml:space="preserve">повысить долю дорог, соответствующих нормативному состоянию;</w:t>
      </w:r>
    </w:p>
    <w:p>
      <w:pPr>
        <w:pStyle w:val="0"/>
        <w:spacing w:before="200" w:lineRule="auto"/>
        <w:ind w:firstLine="540"/>
        <w:jc w:val="both"/>
      </w:pPr>
      <w:r>
        <w:rPr>
          <w:sz w:val="20"/>
        </w:rPr>
        <w:t xml:space="preserve">отремонтировать и модернизировать основные фонды социальной сферы на местах (школы, детские сады, медицинские учреждения);</w:t>
      </w:r>
    </w:p>
    <w:p>
      <w:pPr>
        <w:pStyle w:val="0"/>
        <w:spacing w:before="200" w:lineRule="auto"/>
        <w:ind w:firstLine="540"/>
        <w:jc w:val="both"/>
      </w:pPr>
      <w:r>
        <w:rPr>
          <w:sz w:val="20"/>
        </w:rPr>
        <w:t xml:space="preserve">продолжить благоустройство общественных территорий в небольших населенных пунктах;</w:t>
      </w:r>
    </w:p>
    <w:p>
      <w:pPr>
        <w:pStyle w:val="0"/>
        <w:spacing w:before="200" w:lineRule="auto"/>
        <w:ind w:firstLine="540"/>
        <w:jc w:val="both"/>
      </w:pPr>
      <w:r>
        <w:rPr>
          <w:sz w:val="20"/>
        </w:rPr>
        <w:t xml:space="preserve">осуществлять ремонт, реставрацию и консервацию объектов культурного наследия Тульской области.</w:t>
      </w:r>
    </w:p>
    <w:p>
      <w:pPr>
        <w:pStyle w:val="0"/>
      </w:pPr>
      <w:r>
        <w:rPr>
          <w:sz w:val="20"/>
        </w:rPr>
      </w:r>
    </w:p>
    <w:p>
      <w:pPr>
        <w:pStyle w:val="2"/>
        <w:outlineLvl w:val="1"/>
        <w:jc w:val="center"/>
      </w:pPr>
      <w:r>
        <w:rPr>
          <w:sz w:val="20"/>
        </w:rPr>
        <w:t xml:space="preserve">2. Приоритеты, цели, задачи и направления</w:t>
      </w:r>
    </w:p>
    <w:p>
      <w:pPr>
        <w:pStyle w:val="2"/>
        <w:jc w:val="center"/>
      </w:pPr>
      <w:r>
        <w:rPr>
          <w:sz w:val="20"/>
        </w:rPr>
        <w:t xml:space="preserve">социально-экономического развития Тульской области</w:t>
      </w:r>
    </w:p>
    <w:p>
      <w:pPr>
        <w:pStyle w:val="0"/>
      </w:pPr>
      <w:r>
        <w:rPr>
          <w:sz w:val="20"/>
        </w:rPr>
      </w:r>
    </w:p>
    <w:p>
      <w:pPr>
        <w:pStyle w:val="2"/>
        <w:outlineLvl w:val="2"/>
        <w:jc w:val="center"/>
      </w:pPr>
      <w:r>
        <w:rPr>
          <w:sz w:val="20"/>
        </w:rPr>
        <w:t xml:space="preserve">2.1. Приоритеты социально-экономического развития</w:t>
      </w:r>
    </w:p>
    <w:p>
      <w:pPr>
        <w:pStyle w:val="2"/>
        <w:jc w:val="center"/>
      </w:pPr>
      <w:r>
        <w:rPr>
          <w:sz w:val="20"/>
        </w:rPr>
        <w:t xml:space="preserve">Тульской области</w:t>
      </w:r>
    </w:p>
    <w:p>
      <w:pPr>
        <w:pStyle w:val="0"/>
      </w:pPr>
      <w:r>
        <w:rPr>
          <w:sz w:val="20"/>
        </w:rPr>
      </w:r>
    </w:p>
    <w:p>
      <w:pPr>
        <w:pStyle w:val="0"/>
        <w:ind w:firstLine="540"/>
        <w:jc w:val="both"/>
      </w:pPr>
      <w:r>
        <w:rPr>
          <w:sz w:val="20"/>
        </w:rPr>
        <w:t xml:space="preserve">Приоритетами социально-экономического развития являются:</w:t>
      </w:r>
    </w:p>
    <w:p>
      <w:pPr>
        <w:pStyle w:val="0"/>
        <w:spacing w:before="200" w:lineRule="auto"/>
        <w:ind w:firstLine="540"/>
        <w:jc w:val="both"/>
      </w:pPr>
      <w:r>
        <w:rPr>
          <w:sz w:val="20"/>
        </w:rPr>
        <w:t xml:space="preserve">проведение политики, нацеленной на опережающий темп роста зарплат и пособий по отношению к темпам инфляции;</w:t>
      </w:r>
    </w:p>
    <w:p>
      <w:pPr>
        <w:pStyle w:val="0"/>
        <w:spacing w:before="200" w:lineRule="auto"/>
        <w:ind w:firstLine="540"/>
        <w:jc w:val="both"/>
      </w:pPr>
      <w:r>
        <w:rPr>
          <w:sz w:val="20"/>
        </w:rPr>
        <w:t xml:space="preserve">значительное снижение уровня бедности;</w:t>
      </w:r>
    </w:p>
    <w:p>
      <w:pPr>
        <w:pStyle w:val="0"/>
        <w:spacing w:before="200" w:lineRule="auto"/>
        <w:ind w:firstLine="540"/>
        <w:jc w:val="both"/>
      </w:pPr>
      <w:r>
        <w:rPr>
          <w:sz w:val="20"/>
        </w:rPr>
        <w:t xml:space="preserve">увеличение масштабов поддержки молодых семей с детьми;</w:t>
      </w:r>
    </w:p>
    <w:p>
      <w:pPr>
        <w:pStyle w:val="0"/>
        <w:spacing w:before="200" w:lineRule="auto"/>
        <w:ind w:firstLine="540"/>
        <w:jc w:val="both"/>
      </w:pPr>
      <w:r>
        <w:rPr>
          <w:sz w:val="20"/>
        </w:rPr>
        <w:t xml:space="preserve">увеличение масштабов поддержки пенсионеров и других льготных категорий населения;</w:t>
      </w:r>
    </w:p>
    <w:p>
      <w:pPr>
        <w:pStyle w:val="0"/>
        <w:spacing w:before="200" w:lineRule="auto"/>
        <w:ind w:firstLine="540"/>
        <w:jc w:val="both"/>
      </w:pPr>
      <w:r>
        <w:rPr>
          <w:sz w:val="20"/>
        </w:rPr>
        <w:t xml:space="preserve">реализация мероприятий, нацеленных на опережающий рост финансирования и модернизацию сфер здравоохранения, образования, культуры, социального обеспечения;</w:t>
      </w:r>
    </w:p>
    <w:p>
      <w:pPr>
        <w:pStyle w:val="0"/>
        <w:spacing w:before="200" w:lineRule="auto"/>
        <w:ind w:firstLine="540"/>
        <w:jc w:val="both"/>
      </w:pPr>
      <w:r>
        <w:rPr>
          <w:sz w:val="20"/>
        </w:rPr>
        <w:t xml:space="preserve">продвижение и поддержка здорового образа жизни;</w:t>
      </w:r>
    </w:p>
    <w:p>
      <w:pPr>
        <w:pStyle w:val="0"/>
        <w:spacing w:before="200" w:lineRule="auto"/>
        <w:ind w:firstLine="540"/>
        <w:jc w:val="both"/>
      </w:pPr>
      <w:r>
        <w:rPr>
          <w:sz w:val="20"/>
        </w:rPr>
        <w:t xml:space="preserve">реализация масштабной программы жилищного строительства, значительное сокращение аварийного и ветхого жилого фонда;</w:t>
      </w:r>
    </w:p>
    <w:p>
      <w:pPr>
        <w:pStyle w:val="0"/>
        <w:spacing w:before="200" w:lineRule="auto"/>
        <w:ind w:firstLine="540"/>
        <w:jc w:val="both"/>
      </w:pPr>
      <w:r>
        <w:rPr>
          <w:sz w:val="20"/>
        </w:rPr>
        <w:t xml:space="preserve">создание благоприятных условий (финансовых, ресурсных, институциональных, инфраструктурных) для увеличения инвестиций в экономику и социальную сферу. Поддержка инвестиционных проектов, а также инициатив местного населения;</w:t>
      </w:r>
    </w:p>
    <w:p>
      <w:pPr>
        <w:pStyle w:val="0"/>
        <w:spacing w:before="200" w:lineRule="auto"/>
        <w:ind w:firstLine="540"/>
        <w:jc w:val="both"/>
      </w:pPr>
      <w:r>
        <w:rPr>
          <w:sz w:val="20"/>
        </w:rPr>
        <w:t xml:space="preserve">значительное расширение масштабов и мер поддержки новых высокотехнологичных производств;</w:t>
      </w:r>
    </w:p>
    <w:p>
      <w:pPr>
        <w:pStyle w:val="0"/>
        <w:spacing w:before="200" w:lineRule="auto"/>
        <w:ind w:firstLine="540"/>
        <w:jc w:val="both"/>
      </w:pPr>
      <w:r>
        <w:rPr>
          <w:sz w:val="20"/>
        </w:rPr>
        <w:t xml:space="preserve">поддержка малого и среднего бизнеса;</w:t>
      </w:r>
    </w:p>
    <w:p>
      <w:pPr>
        <w:pStyle w:val="0"/>
        <w:spacing w:before="200" w:lineRule="auto"/>
        <w:ind w:firstLine="540"/>
        <w:jc w:val="both"/>
      </w:pPr>
      <w:r>
        <w:rPr>
          <w:sz w:val="20"/>
        </w:rPr>
        <w:t xml:space="preserve">увеличение поддержки проектов и программ в сфере туризма и рекреации;</w:t>
      </w:r>
    </w:p>
    <w:p>
      <w:pPr>
        <w:pStyle w:val="0"/>
        <w:spacing w:before="200" w:lineRule="auto"/>
        <w:ind w:firstLine="540"/>
        <w:jc w:val="both"/>
      </w:pPr>
      <w:r>
        <w:rPr>
          <w:sz w:val="20"/>
        </w:rPr>
        <w:t xml:space="preserve">реализация программ и проектов, нацеленных на повышение бюджетных доходов, качество государственного управления и эффективность бюджетных расходов;</w:t>
      </w:r>
    </w:p>
    <w:p>
      <w:pPr>
        <w:pStyle w:val="0"/>
        <w:spacing w:before="200" w:lineRule="auto"/>
        <w:ind w:firstLine="540"/>
        <w:jc w:val="both"/>
      </w:pPr>
      <w:r>
        <w:rPr>
          <w:sz w:val="20"/>
        </w:rPr>
        <w:t xml:space="preserve">реализация программ и проектов, нацеленных на улучшение экологической ситуации;</w:t>
      </w:r>
    </w:p>
    <w:p>
      <w:pPr>
        <w:pStyle w:val="0"/>
        <w:spacing w:before="200" w:lineRule="auto"/>
        <w:ind w:firstLine="540"/>
        <w:jc w:val="both"/>
      </w:pPr>
      <w:r>
        <w:rPr>
          <w:sz w:val="20"/>
        </w:rPr>
        <w:t xml:space="preserve">цифровая трансформация государственного и муниципального управления, экономики и социальной сферы.</w:t>
      </w:r>
    </w:p>
    <w:p>
      <w:pPr>
        <w:pStyle w:val="0"/>
      </w:pPr>
      <w:r>
        <w:rPr>
          <w:sz w:val="20"/>
        </w:rPr>
      </w:r>
    </w:p>
    <w:p>
      <w:pPr>
        <w:pStyle w:val="2"/>
        <w:outlineLvl w:val="2"/>
        <w:jc w:val="center"/>
      </w:pPr>
      <w:r>
        <w:rPr>
          <w:sz w:val="20"/>
        </w:rPr>
        <w:t xml:space="preserve">2.2. Цели социально-экономического развития Тульской области</w:t>
      </w:r>
    </w:p>
    <w:p>
      <w:pPr>
        <w:pStyle w:val="0"/>
      </w:pPr>
      <w:r>
        <w:rPr>
          <w:sz w:val="20"/>
        </w:rPr>
      </w:r>
    </w:p>
    <w:p>
      <w:pPr>
        <w:pStyle w:val="0"/>
        <w:ind w:firstLine="540"/>
        <w:jc w:val="both"/>
      </w:pPr>
      <w:r>
        <w:rPr>
          <w:sz w:val="20"/>
        </w:rPr>
        <w:t xml:space="preserve">Тульская область должна войти в число лучших регионов Российской Федерации по качеству жизни населения и динамике экономического развития, став территорией семейного счастья, где хочется жить, работать, создавать семьи, чему должно способствовать достижение следующих целей Стратегии:</w:t>
      </w:r>
    </w:p>
    <w:p>
      <w:pPr>
        <w:pStyle w:val="0"/>
        <w:spacing w:before="200" w:lineRule="auto"/>
        <w:ind w:firstLine="540"/>
        <w:jc w:val="both"/>
      </w:pPr>
      <w:r>
        <w:rPr>
          <w:sz w:val="20"/>
        </w:rPr>
        <w:t xml:space="preserve">улучшение социальной и демографической ситуации в Тульской области. Трансформация региона в комфортную для постоянного проживания территорию с уровнем и качеством жизни населения выше среднероссийского;</w:t>
      </w:r>
    </w:p>
    <w:p>
      <w:pPr>
        <w:pStyle w:val="0"/>
        <w:spacing w:before="200" w:lineRule="auto"/>
        <w:ind w:firstLine="540"/>
        <w:jc w:val="both"/>
      </w:pPr>
      <w:r>
        <w:rPr>
          <w:sz w:val="20"/>
        </w:rPr>
        <w:t xml:space="preserve">усиление позиций Тульской области как региона с конкурентоспособной и диверсифицированной экономикой, в структуре которой преобладают высокотехнологичные производства. Вывод экономики на темпы роста, устойчиво превышающие средние по стране.</w:t>
      </w:r>
    </w:p>
    <w:p>
      <w:pPr>
        <w:pStyle w:val="0"/>
      </w:pPr>
      <w:r>
        <w:rPr>
          <w:sz w:val="20"/>
        </w:rPr>
      </w:r>
    </w:p>
    <w:p>
      <w:pPr>
        <w:pStyle w:val="2"/>
        <w:outlineLvl w:val="2"/>
        <w:jc w:val="center"/>
      </w:pPr>
      <w:r>
        <w:rPr>
          <w:sz w:val="20"/>
        </w:rPr>
        <w:t xml:space="preserve">2.3. Задачи социально-экономического развития</w:t>
      </w:r>
    </w:p>
    <w:p>
      <w:pPr>
        <w:pStyle w:val="2"/>
        <w:jc w:val="center"/>
      </w:pPr>
      <w:r>
        <w:rPr>
          <w:sz w:val="20"/>
        </w:rPr>
        <w:t xml:space="preserve">Тульской области</w:t>
      </w:r>
    </w:p>
    <w:p>
      <w:pPr>
        <w:pStyle w:val="0"/>
      </w:pPr>
      <w:r>
        <w:rPr>
          <w:sz w:val="20"/>
        </w:rPr>
      </w:r>
    </w:p>
    <w:p>
      <w:pPr>
        <w:pStyle w:val="0"/>
        <w:ind w:firstLine="540"/>
        <w:jc w:val="both"/>
      </w:pPr>
      <w:r>
        <w:rPr>
          <w:sz w:val="20"/>
        </w:rPr>
        <w:t xml:space="preserve">Для достижения поставленных целей необходимо решить ряд задач:</w:t>
      </w:r>
    </w:p>
    <w:p>
      <w:pPr>
        <w:pStyle w:val="0"/>
        <w:spacing w:before="200" w:lineRule="auto"/>
        <w:ind w:firstLine="540"/>
        <w:jc w:val="both"/>
      </w:pPr>
      <w:r>
        <w:rPr>
          <w:sz w:val="20"/>
        </w:rPr>
        <w:t xml:space="preserve">повышение уровня и качества жизни населения, постоянный рост располагаемых доходов граждан;</w:t>
      </w:r>
    </w:p>
    <w:p>
      <w:pPr>
        <w:pStyle w:val="0"/>
        <w:spacing w:before="200" w:lineRule="auto"/>
        <w:ind w:firstLine="540"/>
        <w:jc w:val="both"/>
      </w:pPr>
      <w:r>
        <w:rPr>
          <w:sz w:val="20"/>
        </w:rPr>
        <w:t xml:space="preserve">решение демографических проблем (снижение смертности, повышение рождаемости, увеличение ожидаемой продолжительности жизни);</w:t>
      </w:r>
    </w:p>
    <w:p>
      <w:pPr>
        <w:pStyle w:val="0"/>
        <w:spacing w:before="200" w:lineRule="auto"/>
        <w:ind w:firstLine="540"/>
        <w:jc w:val="both"/>
      </w:pPr>
      <w:r>
        <w:rPr>
          <w:sz w:val="20"/>
        </w:rPr>
        <w:t xml:space="preserve">повышение качества человеческого капитала (улучшение здоровья населения, рост уровня образования и профессиональной подготовки, стимулирование волонтерской деятельности, повышение культурного уровня населения, активная молодежная политика);</w:t>
      </w:r>
    </w:p>
    <w:p>
      <w:pPr>
        <w:pStyle w:val="0"/>
        <w:spacing w:before="200" w:lineRule="auto"/>
        <w:ind w:firstLine="540"/>
        <w:jc w:val="both"/>
      </w:pPr>
      <w:r>
        <w:rPr>
          <w:sz w:val="20"/>
        </w:rPr>
        <w:t xml:space="preserve">ускоренное развитие социальной сферы (здравоохранения, образования, культуры) и улучшение состояния ее материальной базы;</w:t>
      </w:r>
    </w:p>
    <w:p>
      <w:pPr>
        <w:pStyle w:val="0"/>
        <w:spacing w:before="200" w:lineRule="auto"/>
        <w:ind w:firstLine="540"/>
        <w:jc w:val="both"/>
      </w:pPr>
      <w:r>
        <w:rPr>
          <w:sz w:val="20"/>
        </w:rPr>
        <w:t xml:space="preserve">повышение жилищной обеспеченности населения, модернизация жилищно-коммунального хозяйства, благоустройство территорий;</w:t>
      </w:r>
    </w:p>
    <w:p>
      <w:pPr>
        <w:pStyle w:val="0"/>
        <w:spacing w:before="200" w:lineRule="auto"/>
        <w:ind w:firstLine="540"/>
        <w:jc w:val="both"/>
      </w:pPr>
      <w:r>
        <w:rPr>
          <w:sz w:val="20"/>
        </w:rPr>
        <w:t xml:space="preserve">поддержание высоких темпов развития экономики;</w:t>
      </w:r>
    </w:p>
    <w:p>
      <w:pPr>
        <w:pStyle w:val="0"/>
        <w:spacing w:before="200" w:lineRule="auto"/>
        <w:ind w:firstLine="540"/>
        <w:jc w:val="both"/>
      </w:pPr>
      <w:r>
        <w:rPr>
          <w:sz w:val="20"/>
        </w:rPr>
        <w:t xml:space="preserve">увеличение инвестиций в экономику и социальную сферу;</w:t>
      </w:r>
    </w:p>
    <w:p>
      <w:pPr>
        <w:pStyle w:val="0"/>
        <w:spacing w:before="200" w:lineRule="auto"/>
        <w:ind w:firstLine="540"/>
        <w:jc w:val="both"/>
      </w:pPr>
      <w:r>
        <w:rPr>
          <w:sz w:val="20"/>
        </w:rPr>
        <w:t xml:space="preserve">ускорение технологического развития экономики (активная поддержка новых высокотехнологичных производств);</w:t>
      </w:r>
    </w:p>
    <w:p>
      <w:pPr>
        <w:pStyle w:val="0"/>
        <w:spacing w:before="200" w:lineRule="auto"/>
        <w:ind w:firstLine="540"/>
        <w:jc w:val="both"/>
      </w:pPr>
      <w:r>
        <w:rPr>
          <w:sz w:val="20"/>
        </w:rPr>
        <w:t xml:space="preserve">увеличение базы собственных доходов, поступающих в бюджет Тульской области. Формирование дополнительных источников налоговых поступлений;</w:t>
      </w:r>
    </w:p>
    <w:p>
      <w:pPr>
        <w:pStyle w:val="0"/>
        <w:spacing w:before="200" w:lineRule="auto"/>
        <w:ind w:firstLine="540"/>
        <w:jc w:val="both"/>
      </w:pPr>
      <w:r>
        <w:rPr>
          <w:sz w:val="20"/>
        </w:rPr>
        <w:t xml:space="preserve">повышение эффективности государственного и муниципального управления. Рост эффективности бюджетных расходов;</w:t>
      </w:r>
    </w:p>
    <w:p>
      <w:pPr>
        <w:pStyle w:val="0"/>
        <w:spacing w:before="200" w:lineRule="auto"/>
        <w:ind w:firstLine="540"/>
        <w:jc w:val="both"/>
      </w:pPr>
      <w:r>
        <w:rPr>
          <w:sz w:val="20"/>
        </w:rPr>
        <w:t xml:space="preserve">выравнивание развития территорий;</w:t>
      </w:r>
    </w:p>
    <w:p>
      <w:pPr>
        <w:pStyle w:val="0"/>
        <w:spacing w:before="200" w:lineRule="auto"/>
        <w:ind w:firstLine="540"/>
        <w:jc w:val="both"/>
      </w:pPr>
      <w:r>
        <w:rPr>
          <w:sz w:val="20"/>
        </w:rPr>
        <w:t xml:space="preserve">решение экологических проблем, повышение уровня экологической безопасности и адаптация к климатическим изменениям.</w:t>
      </w:r>
    </w:p>
    <w:p>
      <w:pPr>
        <w:pStyle w:val="0"/>
      </w:pPr>
      <w:r>
        <w:rPr>
          <w:sz w:val="20"/>
        </w:rPr>
      </w:r>
    </w:p>
    <w:p>
      <w:pPr>
        <w:pStyle w:val="2"/>
        <w:outlineLvl w:val="2"/>
        <w:jc w:val="center"/>
      </w:pPr>
      <w:r>
        <w:rPr>
          <w:sz w:val="20"/>
        </w:rPr>
        <w:t xml:space="preserve">2.4. Направления социально-экономического развития</w:t>
      </w:r>
    </w:p>
    <w:p>
      <w:pPr>
        <w:pStyle w:val="2"/>
        <w:jc w:val="center"/>
      </w:pPr>
      <w:r>
        <w:rPr>
          <w:sz w:val="20"/>
        </w:rPr>
        <w:t xml:space="preserve">Тульской области</w:t>
      </w:r>
    </w:p>
    <w:p>
      <w:pPr>
        <w:pStyle w:val="0"/>
      </w:pPr>
      <w:r>
        <w:rPr>
          <w:sz w:val="20"/>
        </w:rPr>
      </w:r>
    </w:p>
    <w:p>
      <w:pPr>
        <w:pStyle w:val="0"/>
        <w:ind w:firstLine="540"/>
        <w:jc w:val="both"/>
      </w:pPr>
      <w:r>
        <w:rPr>
          <w:sz w:val="20"/>
        </w:rPr>
        <w:t xml:space="preserve">Основные направления социально-экономического развития Тульской области включают развитие:</w:t>
      </w:r>
    </w:p>
    <w:p>
      <w:pPr>
        <w:pStyle w:val="0"/>
        <w:spacing w:before="200" w:lineRule="auto"/>
        <w:ind w:firstLine="540"/>
        <w:jc w:val="both"/>
      </w:pPr>
      <w:r>
        <w:rPr>
          <w:sz w:val="20"/>
        </w:rPr>
        <w:t xml:space="preserve">промышленности (поддержка высокотехнологичных отраслей машиностроения, металлургии, химической и фармацевтической промышленности, создание условий для инновационного предпринимательства);</w:t>
      </w:r>
    </w:p>
    <w:p>
      <w:pPr>
        <w:pStyle w:val="0"/>
        <w:spacing w:before="200" w:lineRule="auto"/>
        <w:ind w:firstLine="540"/>
        <w:jc w:val="both"/>
      </w:pPr>
      <w:r>
        <w:rPr>
          <w:sz w:val="20"/>
        </w:rPr>
        <w:t xml:space="preserve">агропромышленного комплекса (модернизация сельского хозяйства, внедрение современных технологий выращивания и переработки сельскохозяйственной продукции);</w:t>
      </w:r>
    </w:p>
    <w:p>
      <w:pPr>
        <w:pStyle w:val="0"/>
        <w:spacing w:before="200" w:lineRule="auto"/>
        <w:ind w:firstLine="540"/>
        <w:jc w:val="both"/>
      </w:pPr>
      <w:r>
        <w:rPr>
          <w:sz w:val="20"/>
        </w:rPr>
        <w:t xml:space="preserve">инфраструктуры и транспорта (улучшение транспортной доступности муниципальных образований, строительство и реконструкция дорог, обновление коммунальной инфраструктуры, повышение энергоэффективности жилищно-коммунального хозяйства);</w:t>
      </w:r>
    </w:p>
    <w:p>
      <w:pPr>
        <w:pStyle w:val="0"/>
        <w:spacing w:before="200" w:lineRule="auto"/>
        <w:ind w:firstLine="540"/>
        <w:jc w:val="both"/>
      </w:pPr>
      <w:r>
        <w:rPr>
          <w:sz w:val="20"/>
        </w:rPr>
        <w:t xml:space="preserve">человеческого капитала (развитие систем образования и здравоохранения, подготовка квалифицированных кадров, повышение уровня медицинского обслуживания и социальной защиты населения);</w:t>
      </w:r>
    </w:p>
    <w:p>
      <w:pPr>
        <w:pStyle w:val="0"/>
        <w:spacing w:before="200" w:lineRule="auto"/>
        <w:ind w:firstLine="540"/>
        <w:jc w:val="both"/>
      </w:pPr>
      <w:r>
        <w:rPr>
          <w:sz w:val="20"/>
        </w:rPr>
        <w:t xml:space="preserve">экологии и природоохранной деятельности: (охрана окружающей среды, снижение негативного воздействия промышленных предприятий, восстановление природных ресурсов и экологический туризм).</w:t>
      </w:r>
    </w:p>
    <w:p>
      <w:pPr>
        <w:pStyle w:val="0"/>
      </w:pPr>
      <w:r>
        <w:rPr>
          <w:sz w:val="20"/>
        </w:rPr>
      </w:r>
    </w:p>
    <w:p>
      <w:pPr>
        <w:pStyle w:val="2"/>
        <w:outlineLvl w:val="2"/>
        <w:jc w:val="center"/>
      </w:pPr>
      <w:r>
        <w:rPr>
          <w:sz w:val="20"/>
        </w:rPr>
        <w:t xml:space="preserve">2.5. Ожидаемые результаты (индикаторы)</w:t>
      </w:r>
    </w:p>
    <w:p>
      <w:pPr>
        <w:pStyle w:val="2"/>
        <w:jc w:val="center"/>
      </w:pPr>
      <w:r>
        <w:rPr>
          <w:sz w:val="20"/>
        </w:rPr>
        <w:t xml:space="preserve">социально-экономического развития Тульской области</w:t>
      </w:r>
    </w:p>
    <w:p>
      <w:pPr>
        <w:pStyle w:val="0"/>
      </w:pPr>
      <w:r>
        <w:rPr>
          <w:sz w:val="20"/>
        </w:rPr>
      </w:r>
    </w:p>
    <w:p>
      <w:pPr>
        <w:pStyle w:val="0"/>
        <w:ind w:firstLine="540"/>
        <w:jc w:val="both"/>
      </w:pPr>
      <w:r>
        <w:rPr>
          <w:sz w:val="20"/>
        </w:rPr>
        <w:t xml:space="preserve">Результатами (индикаторами) достижения поставленных целей являются:</w:t>
      </w:r>
    </w:p>
    <w:p>
      <w:pPr>
        <w:pStyle w:val="0"/>
        <w:spacing w:before="200" w:lineRule="auto"/>
        <w:ind w:firstLine="540"/>
        <w:jc w:val="both"/>
      </w:pPr>
      <w:r>
        <w:rPr>
          <w:sz w:val="20"/>
        </w:rPr>
        <w:t xml:space="preserve">1) в части повышения уровня и качества жизни населения:</w:t>
      </w:r>
    </w:p>
    <w:p>
      <w:pPr>
        <w:pStyle w:val="0"/>
        <w:spacing w:before="200" w:lineRule="auto"/>
        <w:ind w:firstLine="540"/>
        <w:jc w:val="both"/>
      </w:pPr>
      <w:r>
        <w:rPr>
          <w:sz w:val="20"/>
        </w:rPr>
        <w:t xml:space="preserve">снижение доли населения с доходами ниже прожиточного минимума до 5,7% к 2030 году с сохранением достигнутого уровня к 2036 году;</w:t>
      </w:r>
    </w:p>
    <w:p>
      <w:pPr>
        <w:pStyle w:val="0"/>
        <w:spacing w:before="200" w:lineRule="auto"/>
        <w:ind w:firstLine="540"/>
        <w:jc w:val="both"/>
      </w:pPr>
      <w:r>
        <w:rPr>
          <w:sz w:val="20"/>
        </w:rPr>
        <w:t xml:space="preserve">снижение уровня официально зарегистрированной безработицы к 2030 году до 0,13% и до 0,12% к 2036 году;</w:t>
      </w:r>
    </w:p>
    <w:p>
      <w:pPr>
        <w:pStyle w:val="0"/>
        <w:spacing w:before="200" w:lineRule="auto"/>
        <w:ind w:firstLine="540"/>
        <w:jc w:val="both"/>
      </w:pPr>
      <w:r>
        <w:rPr>
          <w:sz w:val="20"/>
        </w:rPr>
        <w:t xml:space="preserve">увеличение жилой площади, приходящейся на 1 жителя Тульской области, до 35 кв. метров к 2030 году и 42 кв. метров к 2036 году;</w:t>
      </w:r>
    </w:p>
    <w:p>
      <w:pPr>
        <w:pStyle w:val="0"/>
        <w:spacing w:before="200" w:lineRule="auto"/>
        <w:ind w:firstLine="540"/>
        <w:jc w:val="both"/>
      </w:pPr>
      <w:r>
        <w:rPr>
          <w:sz w:val="20"/>
        </w:rPr>
        <w:t xml:space="preserve">повышение доли населения, которому доступна первичная медико-санитарная помощь в модернизированных медицинских подразделениях до 100% к 2030 году и сохранение достигнутого уровня к 2036 году;</w:t>
      </w:r>
    </w:p>
    <w:p>
      <w:pPr>
        <w:pStyle w:val="0"/>
        <w:spacing w:before="200" w:lineRule="auto"/>
        <w:ind w:firstLine="540"/>
        <w:jc w:val="both"/>
      </w:pPr>
      <w:r>
        <w:rPr>
          <w:sz w:val="20"/>
        </w:rPr>
        <w:t xml:space="preserve">увеличение числа лиц, получивших медицинскую помощь по медицинской реабилитации, относительно 2024 года, к 2030 году до 26,5% к 2036 году до 40%;</w:t>
      </w:r>
    </w:p>
    <w:p>
      <w:pPr>
        <w:pStyle w:val="0"/>
        <w:spacing w:before="200" w:lineRule="auto"/>
        <w:ind w:firstLine="540"/>
        <w:jc w:val="both"/>
      </w:pPr>
      <w:r>
        <w:rPr>
          <w:sz w:val="20"/>
        </w:rPr>
        <w:t xml:space="preserve">сохранение 100% предоставления мест детям в дошкольных образовательных организациях к 2030 году и к 2036 году;</w:t>
      </w:r>
    </w:p>
    <w:p>
      <w:pPr>
        <w:pStyle w:val="0"/>
        <w:spacing w:before="200" w:lineRule="auto"/>
        <w:ind w:firstLine="540"/>
        <w:jc w:val="both"/>
      </w:pPr>
      <w:r>
        <w:rPr>
          <w:sz w:val="20"/>
        </w:rPr>
        <w:t xml:space="preserve">повышение уровня удовлетворенности граждан работой государственных и муниципальных учреждений до 85% к 2030 году и до 90% к 2036 году;</w:t>
      </w:r>
    </w:p>
    <w:p>
      <w:pPr>
        <w:pStyle w:val="0"/>
        <w:spacing w:before="200" w:lineRule="auto"/>
        <w:ind w:firstLine="540"/>
        <w:jc w:val="both"/>
      </w:pPr>
      <w:r>
        <w:rPr>
          <w:sz w:val="20"/>
        </w:rPr>
        <w:t xml:space="preserve">увеличение доли домохозяйств, которым обеспечена возможность качественного высокоскоростного широкополосного доступа в "Интернет" к 2030 году до 97% и к 2036 году до 99%;</w:t>
      </w:r>
    </w:p>
    <w:p>
      <w:pPr>
        <w:pStyle w:val="0"/>
        <w:spacing w:before="200" w:lineRule="auto"/>
        <w:ind w:firstLine="540"/>
        <w:jc w:val="both"/>
      </w:pPr>
      <w:r>
        <w:rPr>
          <w:sz w:val="20"/>
        </w:rPr>
        <w:t xml:space="preserve">повышение доли автомобильных дорог регионального и межмуниципального значения, соответствующих нормативным требованиям до 58% к 2030 году и до 60% к 2036 году;</w:t>
      </w:r>
    </w:p>
    <w:p>
      <w:pPr>
        <w:pStyle w:val="0"/>
        <w:spacing w:before="200" w:lineRule="auto"/>
        <w:ind w:firstLine="540"/>
        <w:jc w:val="both"/>
      </w:pPr>
      <w:r>
        <w:rPr>
          <w:sz w:val="20"/>
        </w:rPr>
        <w:t xml:space="preserve">2) в части обеспечения высоких темпов экономического развития:</w:t>
      </w:r>
    </w:p>
    <w:p>
      <w:pPr>
        <w:pStyle w:val="0"/>
        <w:spacing w:before="200" w:lineRule="auto"/>
        <w:ind w:firstLine="540"/>
        <w:jc w:val="both"/>
      </w:pPr>
      <w:r>
        <w:rPr>
          <w:sz w:val="20"/>
        </w:rPr>
        <w:t xml:space="preserve">увеличение ВРП Тульской области относительно 2024 года на 10 - 17% к 2030 году и на 25 - 43% к 2036 году;</w:t>
      </w:r>
    </w:p>
    <w:p>
      <w:pPr>
        <w:pStyle w:val="0"/>
        <w:spacing w:before="200" w:lineRule="auto"/>
        <w:ind w:firstLine="540"/>
        <w:jc w:val="both"/>
      </w:pPr>
      <w:r>
        <w:rPr>
          <w:sz w:val="20"/>
        </w:rPr>
        <w:t xml:space="preserve">увеличение объемов промышленного производства относительно 2025 года на 11 - 17% к 2030 году и на 27 - 44% к 2036 году;</w:t>
      </w:r>
    </w:p>
    <w:p>
      <w:pPr>
        <w:pStyle w:val="0"/>
        <w:spacing w:before="200" w:lineRule="auto"/>
        <w:ind w:firstLine="540"/>
        <w:jc w:val="both"/>
      </w:pPr>
      <w:r>
        <w:rPr>
          <w:sz w:val="20"/>
        </w:rPr>
        <w:t xml:space="preserve">увеличение объемов выпуска продукции в сельском хозяйстве относительно 2025 года на 8 - 14% к 2030 году и на 22 - 38% к 2036 году.</w:t>
      </w:r>
    </w:p>
    <w:p>
      <w:pPr>
        <w:pStyle w:val="0"/>
        <w:spacing w:before="200" w:lineRule="auto"/>
        <w:ind w:firstLine="540"/>
        <w:jc w:val="both"/>
      </w:pPr>
      <w:r>
        <w:rPr>
          <w:sz w:val="20"/>
        </w:rPr>
        <w:t xml:space="preserve">Оценка уровня социально-экономического развития области в процессе реализации Стратегии будет осуществляться на основе результатов (индикаторов), представленных в </w:t>
      </w:r>
      <w:hyperlink w:history="0" w:anchor="P2772" w:tooltip="РЕЗУЛЬТАТЫ (ИНДИКАТОРЫ)">
        <w:r>
          <w:rPr>
            <w:sz w:val="20"/>
            <w:color w:val="0000ff"/>
          </w:rPr>
          <w:t xml:space="preserve">приложении N 2</w:t>
        </w:r>
      </w:hyperlink>
      <w:r>
        <w:rPr>
          <w:sz w:val="20"/>
        </w:rPr>
        <w:t xml:space="preserve"> к Стратегии.</w:t>
      </w:r>
    </w:p>
    <w:p>
      <w:pPr>
        <w:pStyle w:val="0"/>
      </w:pPr>
      <w:r>
        <w:rPr>
          <w:sz w:val="20"/>
        </w:rPr>
      </w:r>
    </w:p>
    <w:p>
      <w:pPr>
        <w:pStyle w:val="2"/>
        <w:outlineLvl w:val="1"/>
        <w:jc w:val="center"/>
      </w:pPr>
      <w:r>
        <w:rPr>
          <w:sz w:val="20"/>
        </w:rPr>
        <w:t xml:space="preserve">3. Сценарии социально-экономического развития</w:t>
      </w:r>
    </w:p>
    <w:p>
      <w:pPr>
        <w:pStyle w:val="2"/>
        <w:jc w:val="center"/>
      </w:pPr>
      <w:r>
        <w:rPr>
          <w:sz w:val="20"/>
        </w:rPr>
        <w:t xml:space="preserve">Тульской области</w:t>
      </w:r>
    </w:p>
    <w:p>
      <w:pPr>
        <w:pStyle w:val="0"/>
      </w:pPr>
      <w:r>
        <w:rPr>
          <w:sz w:val="20"/>
        </w:rPr>
      </w:r>
    </w:p>
    <w:p>
      <w:pPr>
        <w:pStyle w:val="0"/>
        <w:ind w:firstLine="540"/>
        <w:jc w:val="both"/>
      </w:pPr>
      <w:r>
        <w:rPr>
          <w:sz w:val="20"/>
        </w:rPr>
        <w:t xml:space="preserve">Прогноз социально-экономического развития Тульской области определяет траектории развития экономики и социальной сферы с учетом сценарности ключевых факторов, влияющих на ситуацию.</w:t>
      </w:r>
    </w:p>
    <w:p>
      <w:pPr>
        <w:pStyle w:val="0"/>
        <w:spacing w:before="200" w:lineRule="auto"/>
        <w:ind w:firstLine="540"/>
        <w:jc w:val="both"/>
      </w:pPr>
      <w:r>
        <w:rPr>
          <w:sz w:val="20"/>
        </w:rPr>
        <w:t xml:space="preserve">Разработано два варианта прогноза - консервативный (инерционный) и базовый.</w:t>
      </w:r>
    </w:p>
    <w:p>
      <w:pPr>
        <w:pStyle w:val="0"/>
        <w:spacing w:before="200" w:lineRule="auto"/>
        <w:ind w:firstLine="540"/>
        <w:jc w:val="both"/>
      </w:pPr>
      <w:r>
        <w:rPr>
          <w:sz w:val="20"/>
        </w:rPr>
        <w:t xml:space="preserve">Различия между консервативным и базовым сценариями развития Тульской области обусловлены рядом критически важных внутренних (региональных) и внешних (общероссийских) факторов, отражающих различные тренды и способность экономики адаптироваться к вызовам.</w:t>
      </w:r>
    </w:p>
    <w:p>
      <w:pPr>
        <w:pStyle w:val="0"/>
        <w:spacing w:before="200" w:lineRule="auto"/>
        <w:ind w:firstLine="540"/>
        <w:jc w:val="both"/>
      </w:pPr>
      <w:r>
        <w:rPr>
          <w:sz w:val="20"/>
        </w:rPr>
        <w:t xml:space="preserve">Во-первых, существенное влияние оказывает динамика конкурентоспособности бизнеса. Базовый сценарий предполагает более выраженное улучшение его конкурентных позиций, что ведет к повышению эффективности производства, расширению рынков сбыта и, как следствие, к более высоким темпам экономического роста. Консервативный сценарий, напротив, исходит из предположения о более медленном или ограниченном прогрессе в этой сфере, что может сдерживать общий экономический подъем.</w:t>
      </w:r>
    </w:p>
    <w:p>
      <w:pPr>
        <w:pStyle w:val="0"/>
        <w:spacing w:before="200" w:lineRule="auto"/>
        <w:ind w:firstLine="540"/>
        <w:jc w:val="both"/>
      </w:pPr>
      <w:r>
        <w:rPr>
          <w:sz w:val="20"/>
        </w:rPr>
        <w:t xml:space="preserve">Во-вторых, значимую роль играют внутренние структурные сдвиги в российской и региональной экономике. Базовый сценарий предусматривает более глубокие и благоприятные структурные изменения, способствующие диверсификации экономики, повышению ее устойчивости и появлению новых точек роста. Особенно касаемо тенденций импортозамещения иностранной продукции в машиностроении и обрабатывающей промышленности, которые играют большую роль в экономике Тульской области. В консервативном сценарии предполагаются более умеренные или менее значимые структурные трансформации, что может ограничивать потенциал для долгосрочного устойчивого развития Тульской области.</w:t>
      </w:r>
    </w:p>
    <w:p>
      <w:pPr>
        <w:pStyle w:val="0"/>
        <w:spacing w:before="200" w:lineRule="auto"/>
        <w:ind w:firstLine="540"/>
        <w:jc w:val="both"/>
      </w:pPr>
      <w:r>
        <w:rPr>
          <w:sz w:val="20"/>
        </w:rPr>
        <w:t xml:space="preserve">В-третьих, важным фактором является масштаб и интенсивность реализации нормативно-правовых решений и инвестиционных проектов.</w:t>
      </w:r>
    </w:p>
    <w:p>
      <w:pPr>
        <w:pStyle w:val="0"/>
        <w:spacing w:before="200" w:lineRule="auto"/>
        <w:ind w:firstLine="540"/>
        <w:jc w:val="both"/>
      </w:pPr>
      <w:r>
        <w:rPr>
          <w:sz w:val="20"/>
        </w:rPr>
        <w:t xml:space="preserve">Базовый сценарий опирается на предположение о более амбициозной и эффективной реализации государственных программ (в том числе в части реализации национальных проектов) и крупных инвестиционных проектов, направленных на стимулирование позитивной динамики социально - экономического развития как страны в целом, так и Тульской области в частности, и включает проекты, непосредственно ориентированные на развитие региона. Среди ключевых проектов, стоит выделить проекты, направленные на:</w:t>
      </w:r>
    </w:p>
    <w:p>
      <w:pPr>
        <w:pStyle w:val="0"/>
        <w:spacing w:before="200" w:lineRule="auto"/>
        <w:ind w:firstLine="540"/>
        <w:jc w:val="both"/>
      </w:pPr>
      <w:r>
        <w:rPr>
          <w:sz w:val="20"/>
        </w:rPr>
        <w:t xml:space="preserve">развитие предприятий автомобильной промышленности, в том числе производящих узлы и комплектующие;</w:t>
      </w:r>
    </w:p>
    <w:p>
      <w:pPr>
        <w:pStyle w:val="0"/>
        <w:spacing w:before="200" w:lineRule="auto"/>
        <w:ind w:firstLine="540"/>
        <w:jc w:val="both"/>
      </w:pPr>
      <w:r>
        <w:rPr>
          <w:sz w:val="20"/>
        </w:rPr>
        <w:t xml:space="preserve">создание и развитие инновационного научно-технологического центра "Инновационный научно-технологический центр "Композитная долина" (далее - ИНТЦ "Композитная долина");</w:t>
      </w:r>
    </w:p>
    <w:p>
      <w:pPr>
        <w:pStyle w:val="0"/>
        <w:spacing w:before="200" w:lineRule="auto"/>
        <w:ind w:firstLine="540"/>
        <w:jc w:val="both"/>
      </w:pPr>
      <w:r>
        <w:rPr>
          <w:sz w:val="20"/>
        </w:rPr>
        <w:t xml:space="preserve">создание и развитие производственных мощностей по выпуску беспилотной техники;</w:t>
      </w:r>
    </w:p>
    <w:p>
      <w:pPr>
        <w:pStyle w:val="0"/>
        <w:spacing w:before="200" w:lineRule="auto"/>
        <w:ind w:firstLine="540"/>
        <w:jc w:val="both"/>
      </w:pPr>
      <w:r>
        <w:rPr>
          <w:sz w:val="20"/>
        </w:rPr>
        <w:t xml:space="preserve">трансфер технологий из оборонной промышленности в гражданский сектор и быстрое наращивание выпуска продукции двойного назначения.</w:t>
      </w:r>
    </w:p>
    <w:p>
      <w:pPr>
        <w:pStyle w:val="0"/>
        <w:spacing w:before="200" w:lineRule="auto"/>
        <w:ind w:firstLine="540"/>
        <w:jc w:val="both"/>
      </w:pPr>
      <w:r>
        <w:rPr>
          <w:sz w:val="20"/>
        </w:rPr>
        <w:t xml:space="preserve">Консервативный сценарий, напротив, предполагает более умеренные темпы реализации новых проектов, что отражается на общем уровне инвестиционной активности и темпах роста.</w:t>
      </w:r>
    </w:p>
    <w:p>
      <w:pPr>
        <w:pStyle w:val="0"/>
        <w:spacing w:before="200" w:lineRule="auto"/>
        <w:ind w:firstLine="540"/>
        <w:jc w:val="both"/>
      </w:pPr>
      <w:r>
        <w:rPr>
          <w:sz w:val="20"/>
        </w:rPr>
        <w:t xml:space="preserve">Различия в масштабах и интенсивности реализации нормативно-правовых решений и инвестиционных проектов являются одним из основных факторов, определяющих будущую траекторию развития региона, и подчеркивают, что социально-экономическое будущее Тульской области не является пассивным результатом внешних сил, а в значительной степени формируется активными политическими решениями и эффективностью инвестиционных стратегий.</w:t>
      </w:r>
    </w:p>
    <w:p>
      <w:pPr>
        <w:pStyle w:val="0"/>
        <w:spacing w:before="200" w:lineRule="auto"/>
        <w:ind w:firstLine="540"/>
        <w:jc w:val="both"/>
      </w:pPr>
      <w:r>
        <w:rPr>
          <w:sz w:val="20"/>
        </w:rPr>
        <w:t xml:space="preserve">Наконец, различия между сценариями учитывают различные варианты продолжения внешнего санкционного давления на российскую экономику. Базовый сценарий предполагает постепенное ослабление санкционного давления или успешную адаптацию экономики к существующим ограничениям, что позволит минимизировать их негативное влияние. Консервативный сценарий, напротив, исходит из допущения сохранения или усиления санкционного давления, что потребует более осторожного экономического управления и может замедлить темпы роста.</w:t>
      </w:r>
    </w:p>
    <w:p>
      <w:pPr>
        <w:pStyle w:val="0"/>
        <w:spacing w:before="200" w:lineRule="auto"/>
        <w:ind w:firstLine="540"/>
        <w:jc w:val="both"/>
      </w:pPr>
      <w:r>
        <w:rPr>
          <w:sz w:val="20"/>
        </w:rPr>
        <w:t xml:space="preserve">Важной предпосылкой для прогнозирования является исчерпание возможности использовать эффект "низкой базы" и логический переход к более зрелым темпам роста. Период 2021 - 2025 годов характеризовался восстановительным ростом после кризисов 2008 - 2009 годов, 2015 - 2016 годов и 2020 года. Такой тип развития объективно дает более высокие среднегодовые темпы роста. По мере развития экономики и насыщения рынков переход к более умеренным, но устойчивым темпам является закономерным процессом, характерным для зрелых экономических систем. Ожидание сохранения таких же высоких темпов роста в долгосрочной перспективе методологически некорректно и не учитывает объективные экономические законы.</w:t>
      </w:r>
    </w:p>
    <w:p>
      <w:pPr>
        <w:pStyle w:val="0"/>
        <w:spacing w:before="200" w:lineRule="auto"/>
        <w:ind w:firstLine="540"/>
        <w:jc w:val="both"/>
      </w:pPr>
      <w:r>
        <w:rPr>
          <w:sz w:val="20"/>
        </w:rPr>
        <w:t xml:space="preserve">Например, анализ среднегодовых темпов роста за период 2010 - 2025 годов демонстрирует высокие показатели по ряду ключевых индикаторов. Например, среднегодовой темп роста объема ВРП составлял 104,5%, а индекс промышленного производства - 117%. Такие высокие темпы роста в 2010-е годы во многом объясняются так называемым "эффектом низкой базы". После периодов экономического спада или стагнации начальный рост происходит от относительно низких исходных значений, что позволяет достигать высоких процентных показателей даже при умеренном абсолютном приросте.</w:t>
      </w:r>
    </w:p>
    <w:p>
      <w:pPr>
        <w:pStyle w:val="0"/>
        <w:spacing w:before="200" w:lineRule="auto"/>
        <w:ind w:firstLine="540"/>
        <w:jc w:val="both"/>
      </w:pPr>
      <w:r>
        <w:rPr>
          <w:sz w:val="20"/>
        </w:rPr>
        <w:t xml:space="preserve">В прогнозном периоде 2026 - 2036 годов ожидается закономерное снижение среднегодовых темпов роста по большинству показателей по сравнению с фактическим периодом. Темп роста ВРП в базовом сценарии снижается до 103,6%, а в консервативном - до 102,7%. Индекс промышленного производства прогнозируется на уровне 103,6% в базовом и 102,6% в консервативном сценариях. Ожидается естественное снижение потенциала быстрого роста показателей, что является нормальным этапом экономического развития, когда экстенсивный рост сменяется интенсивным, а дальнейшее увеличение объемов требует больших усилий.</w:t>
      </w:r>
    </w:p>
    <w:p>
      <w:pPr>
        <w:pStyle w:val="0"/>
      </w:pPr>
      <w:r>
        <w:rPr>
          <w:sz w:val="20"/>
        </w:rPr>
      </w:r>
    </w:p>
    <w:p>
      <w:pPr>
        <w:pStyle w:val="2"/>
        <w:outlineLvl w:val="2"/>
        <w:jc w:val="center"/>
      </w:pPr>
      <w:r>
        <w:rPr>
          <w:sz w:val="20"/>
        </w:rPr>
        <w:t xml:space="preserve">3.1. Прогнозируемые макроэкономические параметры</w:t>
      </w:r>
    </w:p>
    <w:p>
      <w:pPr>
        <w:pStyle w:val="2"/>
        <w:jc w:val="center"/>
      </w:pPr>
      <w:r>
        <w:rPr>
          <w:sz w:val="20"/>
        </w:rPr>
        <w:t xml:space="preserve">социально-экономического развития Тульской области</w:t>
      </w:r>
    </w:p>
    <w:p>
      <w:pPr>
        <w:pStyle w:val="0"/>
      </w:pPr>
      <w:r>
        <w:rPr>
          <w:sz w:val="20"/>
        </w:rPr>
      </w:r>
    </w:p>
    <w:p>
      <w:pPr>
        <w:pStyle w:val="0"/>
        <w:ind w:firstLine="540"/>
        <w:jc w:val="both"/>
      </w:pPr>
      <w:r>
        <w:rPr>
          <w:sz w:val="20"/>
        </w:rPr>
        <w:t xml:space="preserve">Динамика прогнозируемых макроэкономических параметров социально-экономического развития Тульской области в разрезе консервативного и базового сценариев представлена в таблицах 2, 3.</w:t>
      </w:r>
    </w:p>
    <w:p>
      <w:pPr>
        <w:pStyle w:val="0"/>
        <w:spacing w:before="200" w:lineRule="auto"/>
        <w:ind w:firstLine="540"/>
        <w:jc w:val="both"/>
      </w:pPr>
      <w:r>
        <w:rPr>
          <w:sz w:val="20"/>
        </w:rPr>
        <w:t xml:space="preserve">Анализ ключевых показателей приводит к следующим выводам:</w:t>
      </w:r>
    </w:p>
    <w:p>
      <w:pPr>
        <w:pStyle w:val="0"/>
        <w:spacing w:before="200" w:lineRule="auto"/>
        <w:ind w:firstLine="540"/>
        <w:jc w:val="both"/>
      </w:pPr>
      <w:r>
        <w:rPr>
          <w:sz w:val="20"/>
        </w:rPr>
        <w:t xml:space="preserve">в прогнозном периоде тенденция сохранится на уровне около 99% для обоих сценариев, что указывает на продолжающиеся демографические вызовы, требующие внимания к мерам по стимулированию рождаемости и привлечению населения;</w:t>
      </w:r>
    </w:p>
    <w:p>
      <w:pPr>
        <w:pStyle w:val="0"/>
        <w:spacing w:before="200" w:lineRule="auto"/>
        <w:ind w:firstLine="540"/>
        <w:jc w:val="both"/>
      </w:pPr>
      <w:r>
        <w:rPr>
          <w:sz w:val="20"/>
        </w:rPr>
        <w:t xml:space="preserve">ВРП демонстрирует снижение темпов роста в прогнозном периоде: с 104,5% в 2024 году до 102,1% и 103,5% в 2036 году (в консервативном и базовом сценарии соответственно). При этом стоит учесть, что в условиях более сдержанного развития и потенциально меньшего объема инвестиций, консервативный сценарий может предполагать более устойчивый, хоть и менее амбициозный рост, возможно, за счет большей опоры на внутренние резервы или секторы, менее подверженные внешним шокам, что может быть результатом иного распределения ресурсов или приоритетов, обеспечивающих стабильность, даже если общая динамика инноваций и масштабных проектов ниже. В любом случае, учитывая в значительной мере диверсифицированную экономику региона, даже несмотря на негативные демографические тренды, экономика будет расти в обоих сценариях не ниже среднероссийского уровня;</w:t>
      </w:r>
    </w:p>
    <w:p>
      <w:pPr>
        <w:pStyle w:val="0"/>
        <w:spacing w:before="200" w:lineRule="auto"/>
        <w:ind w:firstLine="540"/>
        <w:jc w:val="both"/>
      </w:pPr>
      <w:r>
        <w:rPr>
          <w:sz w:val="20"/>
        </w:rPr>
        <w:t xml:space="preserve">индекс промышленного производства. После высоких темпов роста за последнее десятилетие, промышленное производство в 2036 году прогнозируется на уровне 103,7% в базовом и 102,4% в консервативном сценарии. По итогам 2025 года Тульская область вошла в топ-3 регионов ЦФО по темпам роста. Снижение отражает эффект высокой базы и переход к более зрелому этапу индустриального развития;</w:t>
      </w:r>
    </w:p>
    <w:p>
      <w:pPr>
        <w:pStyle w:val="0"/>
        <w:spacing w:before="200" w:lineRule="auto"/>
        <w:ind w:firstLine="540"/>
        <w:jc w:val="both"/>
      </w:pPr>
      <w:r>
        <w:rPr>
          <w:sz w:val="20"/>
        </w:rPr>
        <w:t xml:space="preserve">индекс производства продукции сельского хозяйства. К 2036 году ожидается прирост валовой продукции сельского хозяйства в 1,4 раза относительно уровня 2025 года. Основой для роста станет увеличение внутреннего и экспортного спроса на продукцию агропромышленного комплекса, производимую в регионе. В то же время существуют факторы и риски, способные сильно повлиять на динамику развития отрасли. Во-первых, часть зерна, мяса и растительного масла, производимого в Тульской области, идет на экспорт. При этом объем экспорта подвержен сильным колебаниям в зависимости от спроса в странах-импортерах, динамики курса рубля и санкций против России. Во-вторых, внутренние российские рынки по многим видам продовольствия близки к насыщению, что влечет за собой риски обострения межрегиональной конкуренции сельхозпроизводителей. В-третьих, дополнительные риски создает высокая зависимость от иностранных производителей машин, оборудования и химических веществ, стоимость которых также сильно зависит от колебаний курса рубля;</w:t>
      </w:r>
    </w:p>
    <w:p>
      <w:pPr>
        <w:pStyle w:val="0"/>
        <w:spacing w:before="200" w:lineRule="auto"/>
        <w:ind w:firstLine="540"/>
        <w:jc w:val="both"/>
      </w:pPr>
      <w:r>
        <w:rPr>
          <w:sz w:val="20"/>
        </w:rPr>
        <w:t xml:space="preserve">индекс производства по виду деятельности "Строительство". К 2036 году объем работ по виду деятельности "Строительство" увеличится на 4,8% по консервативному варианту прогноза и на 21,7% по базовому варианту прогноза к уровню 2025 года (в сопоставимых ценах). Такие умеренные темпы роста являются ожидаемыми после периода активного роста и отражают стабилизацию инвестиционной активности;</w:t>
      </w:r>
    </w:p>
    <w:p>
      <w:pPr>
        <w:pStyle w:val="0"/>
        <w:spacing w:before="200" w:lineRule="auto"/>
        <w:ind w:firstLine="540"/>
        <w:jc w:val="both"/>
      </w:pPr>
      <w:r>
        <w:rPr>
          <w:sz w:val="20"/>
        </w:rPr>
        <w:t xml:space="preserve">темп роста оборота розничной торговли. В 2036 году совокупный прирост оборота розничной торговли по консервативному варианту в сопоставимых ценах составит 26,8% и в 1,4 раза по базовому варианту к уровню 2025 года. К 2036 году совокупный прирост объема платных услуг населению в сопоставимых ценах по консервативному варианту составит 23,5% и по базовому варианту 34,2% к уровню 2025 года. Увеличение темпов роста в базовом сценарии будет связано с ожидаемым ростом реальных располагаемых доходов населения и потребительской активности, что является благоприятным признаком для экономики. Консервативный сценарий, напротив, предполагает более сдержанный рост потребительского спроса;</w:t>
      </w:r>
    </w:p>
    <w:p>
      <w:pPr>
        <w:pStyle w:val="0"/>
        <w:spacing w:before="200" w:lineRule="auto"/>
        <w:ind w:firstLine="540"/>
        <w:jc w:val="both"/>
      </w:pPr>
      <w:r>
        <w:rPr>
          <w:sz w:val="20"/>
        </w:rPr>
        <w:t xml:space="preserve">инвестиции в основной капитал. К 2036 году прирост инвестиций в основной капитал к уровню 2025 года составит 19,7% по консервативному варианту прогноза и 31,1% - по базовому (в сопоставимых ценах). Базовый сценарий предполагает более высокую инвестиционную активность, что соответствует предпосылкам более интенсивной реализации проектов и улучшении конкурентоспособности.</w:t>
      </w:r>
    </w:p>
    <w:p>
      <w:pPr>
        <w:pStyle w:val="0"/>
        <w:spacing w:before="200" w:lineRule="auto"/>
        <w:ind w:firstLine="540"/>
        <w:jc w:val="both"/>
      </w:pPr>
      <w:r>
        <w:rPr>
          <w:sz w:val="20"/>
        </w:rPr>
        <w:t xml:space="preserve">Разница между базовым и консервативным сценариями (в среднем около 0,8 - 1,0 п.п. по ключевым экономическим показателям) подчеркивает наличие значительного пространства для управленческого воздействия. Реализация базового сценария не произойдет автоматически, она требует:</w:t>
      </w:r>
    </w:p>
    <w:p>
      <w:pPr>
        <w:pStyle w:val="0"/>
        <w:spacing w:before="200" w:lineRule="auto"/>
        <w:ind w:firstLine="540"/>
        <w:jc w:val="both"/>
      </w:pPr>
      <w:r>
        <w:rPr>
          <w:sz w:val="20"/>
        </w:rPr>
        <w:t xml:space="preserve">активной промышленной и инвестиционной политики, целенаправленной поддержки модернизации, импортозамещения, несырьевого экспорта, развития высокотехнологичных секторов;</w:t>
      </w:r>
    </w:p>
    <w:p>
      <w:pPr>
        <w:pStyle w:val="0"/>
        <w:spacing w:before="200" w:lineRule="auto"/>
        <w:ind w:firstLine="540"/>
        <w:jc w:val="both"/>
      </w:pPr>
      <w:r>
        <w:rPr>
          <w:sz w:val="20"/>
        </w:rPr>
        <w:t xml:space="preserve">создания максимально благоприятной, предсказуемой и стимулирующей деловой среды, снижения административных барьеров, повышения эффективности госуправления;</w:t>
      </w:r>
    </w:p>
    <w:p>
      <w:pPr>
        <w:pStyle w:val="0"/>
        <w:spacing w:before="200" w:lineRule="auto"/>
        <w:ind w:firstLine="540"/>
        <w:jc w:val="both"/>
      </w:pPr>
      <w:r>
        <w:rPr>
          <w:sz w:val="20"/>
        </w:rPr>
        <w:t xml:space="preserve">сфокусированной демографической и социальной политики по сдерживанию оттока населения, повышению привлекательности региона, развитию человеческого капитала и обеспечению устойчивого роста реальных доходов;</w:t>
      </w:r>
    </w:p>
    <w:p>
      <w:pPr>
        <w:pStyle w:val="0"/>
        <w:spacing w:before="200" w:lineRule="auto"/>
        <w:ind w:firstLine="540"/>
        <w:jc w:val="both"/>
      </w:pPr>
      <w:r>
        <w:rPr>
          <w:sz w:val="20"/>
        </w:rPr>
        <w:t xml:space="preserve">развития инфраструктуры, в том числе транспортной, энергетической, цифровой, социальной - как основы для роста экономики и качества жизни;</w:t>
      </w:r>
    </w:p>
    <w:p>
      <w:pPr>
        <w:pStyle w:val="0"/>
        <w:spacing w:before="200" w:lineRule="auto"/>
        <w:ind w:firstLine="540"/>
        <w:jc w:val="both"/>
      </w:pPr>
      <w:r>
        <w:rPr>
          <w:sz w:val="20"/>
        </w:rPr>
        <w:t xml:space="preserve">эффективной реализации национальных проектов и государственных программ на территории области.</w:t>
      </w:r>
    </w:p>
    <w:p>
      <w:pPr>
        <w:pStyle w:val="0"/>
      </w:pPr>
      <w:r>
        <w:rPr>
          <w:sz w:val="20"/>
        </w:rPr>
      </w:r>
    </w:p>
    <w:p>
      <w:pPr>
        <w:pStyle w:val="2"/>
        <w:outlineLvl w:val="3"/>
        <w:jc w:val="center"/>
      </w:pPr>
      <w:r>
        <w:rPr>
          <w:sz w:val="20"/>
        </w:rPr>
        <w:t xml:space="preserve">Прогноз социально-экономического развития</w:t>
      </w:r>
    </w:p>
    <w:p>
      <w:pPr>
        <w:pStyle w:val="2"/>
        <w:jc w:val="center"/>
      </w:pPr>
      <w:r>
        <w:rPr>
          <w:sz w:val="20"/>
        </w:rPr>
        <w:t xml:space="preserve">Тульской области до 2036 года</w:t>
      </w:r>
    </w:p>
    <w:p>
      <w:pPr>
        <w:pStyle w:val="2"/>
        <w:jc w:val="center"/>
      </w:pPr>
      <w:r>
        <w:rPr>
          <w:sz w:val="20"/>
        </w:rPr>
        <w:t xml:space="preserve">(консервативный вариант)</w:t>
      </w:r>
    </w:p>
    <w:p>
      <w:pPr>
        <w:pStyle w:val="0"/>
      </w:pPr>
      <w:r>
        <w:rPr>
          <w:sz w:val="20"/>
        </w:rPr>
      </w:r>
    </w:p>
    <w:p>
      <w:pPr>
        <w:pStyle w:val="0"/>
        <w:outlineLvl w:val="3"/>
        <w:jc w:val="right"/>
      </w:pPr>
      <w:r>
        <w:rPr>
          <w:sz w:val="20"/>
        </w:rPr>
        <w:t xml:space="preserve">Таблица 2</w:t>
      </w:r>
    </w:p>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8"/>
        <w:gridCol w:w="2716"/>
        <w:gridCol w:w="1058"/>
        <w:gridCol w:w="1126"/>
        <w:gridCol w:w="1077"/>
        <w:gridCol w:w="964"/>
        <w:gridCol w:w="964"/>
        <w:gridCol w:w="1053"/>
        <w:gridCol w:w="1020"/>
        <w:gridCol w:w="964"/>
        <w:gridCol w:w="1020"/>
        <w:gridCol w:w="1020"/>
      </w:tblGrid>
      <w:tr>
        <w:tc>
          <w:tcPr>
            <w:gridSpan w:val="2"/>
            <w:tcW w:w="3234" w:type="dxa"/>
            <w:vMerge w:val="restart"/>
          </w:tcPr>
          <w:p>
            <w:pPr>
              <w:pStyle w:val="0"/>
              <w:jc w:val="center"/>
            </w:pPr>
            <w:r>
              <w:rPr>
                <w:sz w:val="20"/>
              </w:rPr>
              <w:t xml:space="preserve">Показатели</w:t>
            </w:r>
          </w:p>
        </w:tc>
        <w:tc>
          <w:tcPr>
            <w:gridSpan w:val="4"/>
            <w:tcW w:w="4225" w:type="dxa"/>
          </w:tcPr>
          <w:p>
            <w:pPr>
              <w:pStyle w:val="0"/>
              <w:jc w:val="center"/>
            </w:pPr>
            <w:r>
              <w:rPr>
                <w:sz w:val="20"/>
              </w:rPr>
              <w:t xml:space="preserve">Отчет</w:t>
            </w:r>
          </w:p>
        </w:tc>
        <w:tc>
          <w:tcPr>
            <w:gridSpan w:val="6"/>
            <w:tcW w:w="6041" w:type="dxa"/>
          </w:tcPr>
          <w:p>
            <w:pPr>
              <w:pStyle w:val="0"/>
              <w:jc w:val="center"/>
            </w:pPr>
            <w:r>
              <w:rPr>
                <w:sz w:val="20"/>
              </w:rPr>
              <w:t xml:space="preserve">Прогноз</w:t>
            </w:r>
          </w:p>
        </w:tc>
      </w:tr>
      <w:tr>
        <w:tc>
          <w:tcPr>
            <w:gridSpan w:val="2"/>
            <w:vMerge w:val="continue"/>
          </w:tcPr>
          <w:p/>
        </w:tc>
        <w:tc>
          <w:tcPr>
            <w:tcW w:w="1058" w:type="dxa"/>
          </w:tcPr>
          <w:p>
            <w:pPr>
              <w:pStyle w:val="0"/>
              <w:jc w:val="center"/>
            </w:pPr>
            <w:r>
              <w:rPr>
                <w:sz w:val="20"/>
              </w:rPr>
              <w:t xml:space="preserve">2022</w:t>
            </w:r>
          </w:p>
        </w:tc>
        <w:tc>
          <w:tcPr>
            <w:tcW w:w="1126" w:type="dxa"/>
          </w:tcPr>
          <w:p>
            <w:pPr>
              <w:pStyle w:val="0"/>
              <w:jc w:val="center"/>
            </w:pPr>
            <w:r>
              <w:rPr>
                <w:sz w:val="20"/>
              </w:rPr>
              <w:t xml:space="preserve">2023</w:t>
            </w:r>
          </w:p>
        </w:tc>
        <w:tc>
          <w:tcPr>
            <w:tcW w:w="1077" w:type="dxa"/>
          </w:tcPr>
          <w:p>
            <w:pPr>
              <w:pStyle w:val="0"/>
              <w:jc w:val="center"/>
            </w:pPr>
            <w:r>
              <w:rPr>
                <w:sz w:val="20"/>
              </w:rPr>
              <w:t xml:space="preserve">2024</w:t>
            </w:r>
          </w:p>
        </w:tc>
        <w:tc>
          <w:tcPr>
            <w:tcW w:w="964" w:type="dxa"/>
          </w:tcPr>
          <w:p>
            <w:pPr>
              <w:pStyle w:val="0"/>
              <w:jc w:val="center"/>
            </w:pPr>
            <w:r>
              <w:rPr>
                <w:sz w:val="20"/>
              </w:rPr>
              <w:t xml:space="preserve">2025</w:t>
            </w:r>
          </w:p>
        </w:tc>
        <w:tc>
          <w:tcPr>
            <w:tcW w:w="964" w:type="dxa"/>
          </w:tcPr>
          <w:p>
            <w:pPr>
              <w:pStyle w:val="0"/>
              <w:jc w:val="center"/>
            </w:pPr>
            <w:r>
              <w:rPr>
                <w:sz w:val="20"/>
              </w:rPr>
              <w:t xml:space="preserve">2026</w:t>
            </w:r>
          </w:p>
        </w:tc>
        <w:tc>
          <w:tcPr>
            <w:tcW w:w="1053" w:type="dxa"/>
          </w:tcPr>
          <w:p>
            <w:pPr>
              <w:pStyle w:val="0"/>
              <w:jc w:val="center"/>
            </w:pPr>
            <w:r>
              <w:rPr>
                <w:sz w:val="20"/>
              </w:rPr>
              <w:t xml:space="preserve">2027</w:t>
            </w:r>
          </w:p>
        </w:tc>
        <w:tc>
          <w:tcPr>
            <w:tcW w:w="1020" w:type="dxa"/>
          </w:tcPr>
          <w:p>
            <w:pPr>
              <w:pStyle w:val="0"/>
              <w:jc w:val="center"/>
            </w:pPr>
            <w:r>
              <w:rPr>
                <w:sz w:val="20"/>
              </w:rPr>
              <w:t xml:space="preserve">2028</w:t>
            </w:r>
          </w:p>
        </w:tc>
        <w:tc>
          <w:tcPr>
            <w:tcW w:w="964" w:type="dxa"/>
          </w:tcPr>
          <w:p>
            <w:pPr>
              <w:pStyle w:val="0"/>
              <w:jc w:val="center"/>
            </w:pPr>
            <w:r>
              <w:rPr>
                <w:sz w:val="20"/>
              </w:rPr>
              <w:t xml:space="preserve">2029</w:t>
            </w:r>
          </w:p>
        </w:tc>
        <w:tc>
          <w:tcPr>
            <w:tcW w:w="1020" w:type="dxa"/>
          </w:tcPr>
          <w:p>
            <w:pPr>
              <w:pStyle w:val="0"/>
              <w:jc w:val="center"/>
            </w:pPr>
            <w:r>
              <w:rPr>
                <w:sz w:val="20"/>
              </w:rPr>
              <w:t xml:space="preserve">2030</w:t>
            </w:r>
          </w:p>
        </w:tc>
        <w:tc>
          <w:tcPr>
            <w:tcW w:w="1020" w:type="dxa"/>
          </w:tcPr>
          <w:p>
            <w:pPr>
              <w:pStyle w:val="0"/>
              <w:jc w:val="center"/>
            </w:pPr>
            <w:r>
              <w:rPr>
                <w:sz w:val="20"/>
              </w:rPr>
              <w:t xml:space="preserve">2036</w:t>
            </w:r>
          </w:p>
        </w:tc>
      </w:tr>
      <w:tr>
        <w:tc>
          <w:tcPr>
            <w:gridSpan w:val="12"/>
            <w:tcW w:w="13500" w:type="dxa"/>
          </w:tcPr>
          <w:p>
            <w:pPr>
              <w:pStyle w:val="0"/>
              <w:outlineLvl w:val="4"/>
            </w:pPr>
            <w:r>
              <w:rPr>
                <w:sz w:val="20"/>
              </w:rPr>
              <w:t xml:space="preserve">Население</w:t>
            </w:r>
          </w:p>
        </w:tc>
      </w:tr>
      <w:tr>
        <w:tc>
          <w:tcPr>
            <w:tcW w:w="518" w:type="dxa"/>
          </w:tcPr>
          <w:p>
            <w:pPr>
              <w:pStyle w:val="0"/>
              <w:jc w:val="center"/>
            </w:pPr>
            <w:r>
              <w:rPr>
                <w:sz w:val="20"/>
              </w:rPr>
              <w:t xml:space="preserve">1</w:t>
            </w:r>
          </w:p>
        </w:tc>
        <w:tc>
          <w:tcPr>
            <w:tcW w:w="2716" w:type="dxa"/>
          </w:tcPr>
          <w:p>
            <w:pPr>
              <w:pStyle w:val="0"/>
            </w:pPr>
            <w:r>
              <w:rPr>
                <w:sz w:val="20"/>
              </w:rPr>
              <w:t xml:space="preserve">Численность населения (в среднегодовом исчислении), тыс. человек</w:t>
            </w:r>
          </w:p>
        </w:tc>
        <w:tc>
          <w:tcPr>
            <w:tcW w:w="1058" w:type="dxa"/>
          </w:tcPr>
          <w:p>
            <w:pPr>
              <w:pStyle w:val="0"/>
              <w:jc w:val="center"/>
            </w:pPr>
            <w:r>
              <w:rPr>
                <w:sz w:val="20"/>
              </w:rPr>
              <w:t xml:space="preserve">1489,1</w:t>
            </w:r>
          </w:p>
        </w:tc>
        <w:tc>
          <w:tcPr>
            <w:tcW w:w="1126" w:type="dxa"/>
          </w:tcPr>
          <w:p>
            <w:pPr>
              <w:pStyle w:val="0"/>
              <w:jc w:val="center"/>
            </w:pPr>
            <w:r>
              <w:rPr>
                <w:sz w:val="20"/>
              </w:rPr>
              <w:t xml:space="preserve">1 476,3</w:t>
            </w:r>
          </w:p>
        </w:tc>
        <w:tc>
          <w:tcPr>
            <w:tcW w:w="1077" w:type="dxa"/>
          </w:tcPr>
          <w:p>
            <w:pPr>
              <w:pStyle w:val="0"/>
              <w:jc w:val="center"/>
            </w:pPr>
            <w:r>
              <w:rPr>
                <w:sz w:val="20"/>
              </w:rPr>
              <w:t xml:space="preserve">1 464,0</w:t>
            </w:r>
          </w:p>
        </w:tc>
        <w:tc>
          <w:tcPr>
            <w:tcW w:w="964" w:type="dxa"/>
          </w:tcPr>
          <w:p>
            <w:pPr>
              <w:pStyle w:val="0"/>
              <w:jc w:val="center"/>
            </w:pPr>
            <w:r>
              <w:rPr>
                <w:sz w:val="20"/>
              </w:rPr>
              <w:t xml:space="preserve">1 449,4 &lt;*&gt;</w:t>
            </w:r>
          </w:p>
        </w:tc>
        <w:tc>
          <w:tcPr>
            <w:tcW w:w="964" w:type="dxa"/>
          </w:tcPr>
          <w:p>
            <w:pPr>
              <w:pStyle w:val="0"/>
              <w:jc w:val="center"/>
            </w:pPr>
            <w:r>
              <w:rPr>
                <w:sz w:val="20"/>
              </w:rPr>
              <w:t xml:space="preserve">1 434,6</w:t>
            </w:r>
          </w:p>
        </w:tc>
        <w:tc>
          <w:tcPr>
            <w:tcW w:w="1053" w:type="dxa"/>
          </w:tcPr>
          <w:p>
            <w:pPr>
              <w:pStyle w:val="0"/>
              <w:jc w:val="center"/>
            </w:pPr>
            <w:r>
              <w:rPr>
                <w:sz w:val="20"/>
              </w:rPr>
              <w:t xml:space="preserve">1 419,9</w:t>
            </w:r>
          </w:p>
        </w:tc>
        <w:tc>
          <w:tcPr>
            <w:tcW w:w="1020" w:type="dxa"/>
          </w:tcPr>
          <w:p>
            <w:pPr>
              <w:pStyle w:val="0"/>
              <w:jc w:val="center"/>
            </w:pPr>
            <w:r>
              <w:rPr>
                <w:sz w:val="20"/>
              </w:rPr>
              <w:t xml:space="preserve">1 405,4</w:t>
            </w:r>
          </w:p>
        </w:tc>
        <w:tc>
          <w:tcPr>
            <w:tcW w:w="964" w:type="dxa"/>
          </w:tcPr>
          <w:p>
            <w:pPr>
              <w:pStyle w:val="0"/>
              <w:jc w:val="center"/>
            </w:pPr>
            <w:r>
              <w:rPr>
                <w:sz w:val="20"/>
              </w:rPr>
              <w:t xml:space="preserve">1 391,1</w:t>
            </w:r>
          </w:p>
        </w:tc>
        <w:tc>
          <w:tcPr>
            <w:tcW w:w="1020" w:type="dxa"/>
          </w:tcPr>
          <w:p>
            <w:pPr>
              <w:pStyle w:val="0"/>
              <w:jc w:val="center"/>
            </w:pPr>
            <w:r>
              <w:rPr>
                <w:sz w:val="20"/>
              </w:rPr>
              <w:t xml:space="preserve">1 376,9</w:t>
            </w:r>
          </w:p>
        </w:tc>
        <w:tc>
          <w:tcPr>
            <w:tcW w:w="1020" w:type="dxa"/>
          </w:tcPr>
          <w:p>
            <w:pPr>
              <w:pStyle w:val="0"/>
              <w:jc w:val="center"/>
            </w:pPr>
            <w:r>
              <w:rPr>
                <w:sz w:val="20"/>
              </w:rPr>
              <w:t xml:space="preserve">1 294,4</w:t>
            </w:r>
          </w:p>
        </w:tc>
      </w:tr>
      <w:tr>
        <w:tc>
          <w:tcPr>
            <w:gridSpan w:val="12"/>
            <w:tcW w:w="13500" w:type="dxa"/>
          </w:tcPr>
          <w:p>
            <w:pPr>
              <w:pStyle w:val="0"/>
              <w:outlineLvl w:val="4"/>
            </w:pPr>
            <w:r>
              <w:rPr>
                <w:sz w:val="20"/>
              </w:rPr>
              <w:t xml:space="preserve">Валовой региональный продукт</w:t>
            </w:r>
          </w:p>
        </w:tc>
      </w:tr>
      <w:tr>
        <w:tc>
          <w:tcPr>
            <w:tcW w:w="518" w:type="dxa"/>
          </w:tcPr>
          <w:p>
            <w:pPr>
              <w:pStyle w:val="0"/>
              <w:jc w:val="center"/>
            </w:pPr>
            <w:r>
              <w:rPr>
                <w:sz w:val="20"/>
              </w:rPr>
              <w:t xml:space="preserve">2</w:t>
            </w:r>
          </w:p>
        </w:tc>
        <w:tc>
          <w:tcPr>
            <w:tcW w:w="2716" w:type="dxa"/>
          </w:tcPr>
          <w:p>
            <w:pPr>
              <w:pStyle w:val="0"/>
            </w:pPr>
            <w:r>
              <w:rPr>
                <w:sz w:val="20"/>
              </w:rPr>
              <w:t xml:space="preserve">Валовой региональный продукт, млрд. рублей</w:t>
            </w:r>
          </w:p>
        </w:tc>
        <w:tc>
          <w:tcPr>
            <w:tcW w:w="1058" w:type="dxa"/>
          </w:tcPr>
          <w:p>
            <w:pPr>
              <w:pStyle w:val="0"/>
              <w:jc w:val="center"/>
            </w:pPr>
            <w:r>
              <w:rPr>
                <w:sz w:val="20"/>
              </w:rPr>
              <w:t xml:space="preserve">1 019,6</w:t>
            </w:r>
          </w:p>
        </w:tc>
        <w:tc>
          <w:tcPr>
            <w:tcW w:w="1126" w:type="dxa"/>
          </w:tcPr>
          <w:p>
            <w:pPr>
              <w:pStyle w:val="0"/>
              <w:jc w:val="center"/>
            </w:pPr>
            <w:r>
              <w:rPr>
                <w:sz w:val="20"/>
              </w:rPr>
              <w:t xml:space="preserve">1 165,8</w:t>
            </w:r>
          </w:p>
        </w:tc>
        <w:tc>
          <w:tcPr>
            <w:tcW w:w="1077" w:type="dxa"/>
          </w:tcPr>
          <w:p>
            <w:pPr>
              <w:pStyle w:val="0"/>
              <w:jc w:val="center"/>
            </w:pPr>
            <w:r>
              <w:rPr>
                <w:sz w:val="20"/>
              </w:rPr>
              <w:t xml:space="preserve">1 304,9</w:t>
            </w:r>
          </w:p>
        </w:tc>
        <w:tc>
          <w:tcPr>
            <w:tcW w:w="964" w:type="dxa"/>
          </w:tcPr>
          <w:p>
            <w:pPr>
              <w:pStyle w:val="0"/>
              <w:jc w:val="center"/>
            </w:pPr>
            <w:r>
              <w:rPr>
                <w:sz w:val="20"/>
              </w:rPr>
              <w:t xml:space="preserve">1 447,6 &lt;*&gt;</w:t>
            </w:r>
          </w:p>
        </w:tc>
        <w:tc>
          <w:tcPr>
            <w:tcW w:w="964" w:type="dxa"/>
          </w:tcPr>
          <w:p>
            <w:pPr>
              <w:pStyle w:val="0"/>
              <w:jc w:val="center"/>
            </w:pPr>
            <w:r>
              <w:rPr>
                <w:sz w:val="20"/>
              </w:rPr>
              <w:t xml:space="preserve">1 531,9</w:t>
            </w:r>
          </w:p>
        </w:tc>
        <w:tc>
          <w:tcPr>
            <w:tcW w:w="1053" w:type="dxa"/>
          </w:tcPr>
          <w:p>
            <w:pPr>
              <w:pStyle w:val="0"/>
              <w:jc w:val="center"/>
            </w:pPr>
            <w:r>
              <w:rPr>
                <w:sz w:val="20"/>
              </w:rPr>
              <w:t xml:space="preserve">1 614,0</w:t>
            </w:r>
          </w:p>
        </w:tc>
        <w:tc>
          <w:tcPr>
            <w:tcW w:w="1020" w:type="dxa"/>
          </w:tcPr>
          <w:p>
            <w:pPr>
              <w:pStyle w:val="0"/>
              <w:jc w:val="center"/>
            </w:pPr>
            <w:r>
              <w:rPr>
                <w:sz w:val="20"/>
              </w:rPr>
              <w:t xml:space="preserve">1 706,9</w:t>
            </w:r>
          </w:p>
        </w:tc>
        <w:tc>
          <w:tcPr>
            <w:tcW w:w="964" w:type="dxa"/>
          </w:tcPr>
          <w:p>
            <w:pPr>
              <w:pStyle w:val="0"/>
              <w:jc w:val="center"/>
            </w:pPr>
            <w:r>
              <w:rPr>
                <w:sz w:val="20"/>
              </w:rPr>
              <w:t xml:space="preserve">1 815,3</w:t>
            </w:r>
          </w:p>
        </w:tc>
        <w:tc>
          <w:tcPr>
            <w:tcW w:w="1020" w:type="dxa"/>
          </w:tcPr>
          <w:p>
            <w:pPr>
              <w:pStyle w:val="0"/>
              <w:jc w:val="center"/>
            </w:pPr>
            <w:r>
              <w:rPr>
                <w:sz w:val="20"/>
              </w:rPr>
              <w:t xml:space="preserve">1 930,4</w:t>
            </w:r>
          </w:p>
        </w:tc>
        <w:tc>
          <w:tcPr>
            <w:tcW w:w="1020" w:type="dxa"/>
          </w:tcPr>
          <w:p>
            <w:pPr>
              <w:pStyle w:val="0"/>
              <w:jc w:val="center"/>
            </w:pPr>
            <w:r>
              <w:rPr>
                <w:sz w:val="20"/>
              </w:rPr>
              <w:t xml:space="preserve">2 814,5</w:t>
            </w:r>
          </w:p>
        </w:tc>
      </w:tr>
      <w:tr>
        <w:tc>
          <w:tcPr>
            <w:tcW w:w="518" w:type="dxa"/>
          </w:tcPr>
          <w:p>
            <w:pPr>
              <w:pStyle w:val="0"/>
              <w:jc w:val="center"/>
            </w:pPr>
            <w:r>
              <w:rPr>
                <w:sz w:val="20"/>
              </w:rPr>
              <w:t xml:space="preserve">3</w:t>
            </w:r>
          </w:p>
        </w:tc>
        <w:tc>
          <w:tcPr>
            <w:tcW w:w="2716" w:type="dxa"/>
          </w:tcPr>
          <w:p>
            <w:pPr>
              <w:pStyle w:val="0"/>
            </w:pPr>
            <w:r>
              <w:rPr>
                <w:sz w:val="20"/>
              </w:rPr>
              <w:t xml:space="preserve">Темп роста объема валового регионального продукта, % к предыдущему году в сопоставимых ценах</w:t>
            </w:r>
          </w:p>
        </w:tc>
        <w:tc>
          <w:tcPr>
            <w:tcW w:w="1058" w:type="dxa"/>
          </w:tcPr>
          <w:p>
            <w:pPr>
              <w:pStyle w:val="0"/>
              <w:jc w:val="center"/>
            </w:pPr>
            <w:r>
              <w:rPr>
                <w:sz w:val="20"/>
              </w:rPr>
              <w:t xml:space="preserve">103,8</w:t>
            </w:r>
          </w:p>
        </w:tc>
        <w:tc>
          <w:tcPr>
            <w:tcW w:w="1126" w:type="dxa"/>
          </w:tcPr>
          <w:p>
            <w:pPr>
              <w:pStyle w:val="0"/>
              <w:jc w:val="center"/>
            </w:pPr>
            <w:r>
              <w:rPr>
                <w:sz w:val="20"/>
              </w:rPr>
              <w:t xml:space="preserve">109,8</w:t>
            </w:r>
          </w:p>
        </w:tc>
        <w:tc>
          <w:tcPr>
            <w:tcW w:w="1077" w:type="dxa"/>
          </w:tcPr>
          <w:p>
            <w:pPr>
              <w:pStyle w:val="0"/>
              <w:jc w:val="center"/>
            </w:pPr>
            <w:r>
              <w:rPr>
                <w:sz w:val="20"/>
              </w:rPr>
              <w:t xml:space="preserve">104,5</w:t>
            </w:r>
          </w:p>
        </w:tc>
        <w:tc>
          <w:tcPr>
            <w:tcW w:w="964" w:type="dxa"/>
          </w:tcPr>
          <w:p>
            <w:pPr>
              <w:pStyle w:val="0"/>
              <w:jc w:val="center"/>
            </w:pPr>
            <w:r>
              <w:rPr>
                <w:sz w:val="20"/>
              </w:rPr>
              <w:t xml:space="preserve">103,1 &lt;*&gt;</w:t>
            </w:r>
          </w:p>
        </w:tc>
        <w:tc>
          <w:tcPr>
            <w:tcW w:w="964" w:type="dxa"/>
          </w:tcPr>
          <w:p>
            <w:pPr>
              <w:pStyle w:val="0"/>
              <w:jc w:val="center"/>
            </w:pPr>
            <w:r>
              <w:rPr>
                <w:sz w:val="20"/>
              </w:rPr>
              <w:t xml:space="preserve">100,9</w:t>
            </w:r>
          </w:p>
        </w:tc>
        <w:tc>
          <w:tcPr>
            <w:tcW w:w="1053" w:type="dxa"/>
          </w:tcPr>
          <w:p>
            <w:pPr>
              <w:pStyle w:val="0"/>
              <w:jc w:val="center"/>
            </w:pPr>
            <w:r>
              <w:rPr>
                <w:sz w:val="20"/>
              </w:rPr>
              <w:t xml:space="preserve">100,9</w:t>
            </w:r>
          </w:p>
        </w:tc>
        <w:tc>
          <w:tcPr>
            <w:tcW w:w="1020" w:type="dxa"/>
          </w:tcPr>
          <w:p>
            <w:pPr>
              <w:pStyle w:val="0"/>
              <w:jc w:val="center"/>
            </w:pPr>
            <w:r>
              <w:rPr>
                <w:sz w:val="20"/>
              </w:rPr>
              <w:t xml:space="preserve">101,4</w:t>
            </w:r>
          </w:p>
        </w:tc>
        <w:tc>
          <w:tcPr>
            <w:tcW w:w="964" w:type="dxa"/>
          </w:tcPr>
          <w:p>
            <w:pPr>
              <w:pStyle w:val="0"/>
              <w:jc w:val="center"/>
            </w:pPr>
            <w:r>
              <w:rPr>
                <w:sz w:val="20"/>
              </w:rPr>
              <w:t xml:space="preserve">101,8</w:t>
            </w:r>
          </w:p>
        </w:tc>
        <w:tc>
          <w:tcPr>
            <w:tcW w:w="1020" w:type="dxa"/>
          </w:tcPr>
          <w:p>
            <w:pPr>
              <w:pStyle w:val="0"/>
              <w:jc w:val="center"/>
            </w:pPr>
            <w:r>
              <w:rPr>
                <w:sz w:val="20"/>
              </w:rPr>
              <w:t xml:space="preserve">101,8</w:t>
            </w:r>
          </w:p>
        </w:tc>
        <w:tc>
          <w:tcPr>
            <w:tcW w:w="1020" w:type="dxa"/>
          </w:tcPr>
          <w:p>
            <w:pPr>
              <w:pStyle w:val="0"/>
              <w:jc w:val="center"/>
            </w:pPr>
            <w:r>
              <w:rPr>
                <w:sz w:val="20"/>
              </w:rPr>
              <w:t xml:space="preserve">102,1</w:t>
            </w:r>
          </w:p>
        </w:tc>
      </w:tr>
      <w:tr>
        <w:tc>
          <w:tcPr>
            <w:gridSpan w:val="12"/>
            <w:tcW w:w="13500" w:type="dxa"/>
          </w:tcPr>
          <w:p>
            <w:pPr>
              <w:pStyle w:val="0"/>
              <w:outlineLvl w:val="4"/>
            </w:pPr>
            <w:r>
              <w:rPr>
                <w:sz w:val="20"/>
              </w:rPr>
              <w:t xml:space="preserve">Промышленное производство</w:t>
            </w:r>
          </w:p>
        </w:tc>
      </w:tr>
      <w:tr>
        <w:tc>
          <w:tcPr>
            <w:tcW w:w="518" w:type="dxa"/>
          </w:tcPr>
          <w:p>
            <w:pPr>
              <w:pStyle w:val="0"/>
              <w:jc w:val="center"/>
            </w:pPr>
            <w:r>
              <w:rPr>
                <w:sz w:val="20"/>
              </w:rPr>
              <w:t xml:space="preserve">4</w:t>
            </w:r>
          </w:p>
        </w:tc>
        <w:tc>
          <w:tcPr>
            <w:tcW w:w="2716" w:type="dxa"/>
          </w:tcPr>
          <w:p>
            <w:pPr>
              <w:pStyle w:val="0"/>
            </w:pPr>
            <w:r>
              <w:rPr>
                <w:sz w:val="20"/>
              </w:rPr>
              <w:t xml:space="preserve">Объем отгруженной продукции (работ, услуг), млрд. рублей</w:t>
            </w:r>
          </w:p>
        </w:tc>
        <w:tc>
          <w:tcPr>
            <w:tcW w:w="1058" w:type="dxa"/>
          </w:tcPr>
          <w:p>
            <w:pPr>
              <w:pStyle w:val="0"/>
              <w:jc w:val="center"/>
            </w:pPr>
            <w:r>
              <w:rPr>
                <w:sz w:val="20"/>
              </w:rPr>
              <w:t xml:space="preserve">1 302,8</w:t>
            </w:r>
          </w:p>
        </w:tc>
        <w:tc>
          <w:tcPr>
            <w:tcW w:w="1126" w:type="dxa"/>
          </w:tcPr>
          <w:p>
            <w:pPr>
              <w:pStyle w:val="0"/>
              <w:jc w:val="center"/>
            </w:pPr>
            <w:r>
              <w:rPr>
                <w:sz w:val="20"/>
              </w:rPr>
              <w:t xml:space="preserve">1 552,7</w:t>
            </w:r>
          </w:p>
        </w:tc>
        <w:tc>
          <w:tcPr>
            <w:tcW w:w="1077" w:type="dxa"/>
          </w:tcPr>
          <w:p>
            <w:pPr>
              <w:pStyle w:val="0"/>
              <w:jc w:val="center"/>
            </w:pPr>
            <w:r>
              <w:rPr>
                <w:sz w:val="20"/>
              </w:rPr>
              <w:t xml:space="preserve">1 906,1</w:t>
            </w:r>
          </w:p>
        </w:tc>
        <w:tc>
          <w:tcPr>
            <w:tcW w:w="964" w:type="dxa"/>
          </w:tcPr>
          <w:p>
            <w:pPr>
              <w:pStyle w:val="0"/>
              <w:jc w:val="center"/>
            </w:pPr>
            <w:r>
              <w:rPr>
                <w:sz w:val="20"/>
              </w:rPr>
              <w:t xml:space="preserve">2 248,9</w:t>
            </w:r>
          </w:p>
        </w:tc>
        <w:tc>
          <w:tcPr>
            <w:tcW w:w="964" w:type="dxa"/>
          </w:tcPr>
          <w:p>
            <w:pPr>
              <w:pStyle w:val="0"/>
              <w:jc w:val="center"/>
            </w:pPr>
            <w:r>
              <w:rPr>
                <w:sz w:val="20"/>
              </w:rPr>
              <w:t xml:space="preserve">2 294,1</w:t>
            </w:r>
          </w:p>
        </w:tc>
        <w:tc>
          <w:tcPr>
            <w:tcW w:w="1053" w:type="dxa"/>
          </w:tcPr>
          <w:p>
            <w:pPr>
              <w:pStyle w:val="0"/>
              <w:jc w:val="center"/>
            </w:pPr>
            <w:r>
              <w:rPr>
                <w:sz w:val="20"/>
              </w:rPr>
              <w:t xml:space="preserve">2 413,2</w:t>
            </w:r>
          </w:p>
        </w:tc>
        <w:tc>
          <w:tcPr>
            <w:tcW w:w="1020" w:type="dxa"/>
          </w:tcPr>
          <w:p>
            <w:pPr>
              <w:pStyle w:val="0"/>
              <w:jc w:val="center"/>
            </w:pPr>
            <w:r>
              <w:rPr>
                <w:sz w:val="20"/>
              </w:rPr>
              <w:t xml:space="preserve">2 548,4</w:t>
            </w:r>
          </w:p>
        </w:tc>
        <w:tc>
          <w:tcPr>
            <w:tcW w:w="964" w:type="dxa"/>
          </w:tcPr>
          <w:p>
            <w:pPr>
              <w:pStyle w:val="0"/>
              <w:jc w:val="center"/>
            </w:pPr>
            <w:r>
              <w:rPr>
                <w:sz w:val="20"/>
              </w:rPr>
              <w:t xml:space="preserve">2 678,6</w:t>
            </w:r>
          </w:p>
        </w:tc>
        <w:tc>
          <w:tcPr>
            <w:tcW w:w="1020" w:type="dxa"/>
          </w:tcPr>
          <w:p>
            <w:pPr>
              <w:pStyle w:val="0"/>
              <w:jc w:val="center"/>
            </w:pPr>
            <w:r>
              <w:rPr>
                <w:sz w:val="20"/>
              </w:rPr>
              <w:t xml:space="preserve">2 811,5</w:t>
            </w:r>
          </w:p>
        </w:tc>
        <w:tc>
          <w:tcPr>
            <w:tcW w:w="1020" w:type="dxa"/>
          </w:tcPr>
          <w:p>
            <w:pPr>
              <w:pStyle w:val="0"/>
              <w:jc w:val="center"/>
            </w:pPr>
            <w:r>
              <w:rPr>
                <w:sz w:val="20"/>
              </w:rPr>
              <w:t xml:space="preserve">3 751,6</w:t>
            </w:r>
          </w:p>
        </w:tc>
      </w:tr>
      <w:tr>
        <w:tc>
          <w:tcPr>
            <w:tcW w:w="518" w:type="dxa"/>
          </w:tcPr>
          <w:p>
            <w:pPr>
              <w:pStyle w:val="0"/>
              <w:jc w:val="center"/>
            </w:pPr>
            <w:r>
              <w:rPr>
                <w:sz w:val="20"/>
              </w:rPr>
              <w:t xml:space="preserve">5</w:t>
            </w:r>
          </w:p>
        </w:tc>
        <w:tc>
          <w:tcPr>
            <w:tcW w:w="2716" w:type="dxa"/>
          </w:tcPr>
          <w:p>
            <w:pPr>
              <w:pStyle w:val="0"/>
            </w:pPr>
            <w:r>
              <w:rPr>
                <w:sz w:val="20"/>
              </w:rPr>
              <w:t xml:space="preserve">Индекс промышленного производства, % к предыдущему году в сопоставимых ценах</w:t>
            </w:r>
          </w:p>
        </w:tc>
        <w:tc>
          <w:tcPr>
            <w:tcW w:w="1058" w:type="dxa"/>
          </w:tcPr>
          <w:p>
            <w:pPr>
              <w:pStyle w:val="0"/>
              <w:jc w:val="center"/>
            </w:pPr>
            <w:r>
              <w:rPr>
                <w:sz w:val="20"/>
              </w:rPr>
              <w:t xml:space="preserve">103,2</w:t>
            </w:r>
          </w:p>
        </w:tc>
        <w:tc>
          <w:tcPr>
            <w:tcW w:w="1126" w:type="dxa"/>
          </w:tcPr>
          <w:p>
            <w:pPr>
              <w:pStyle w:val="0"/>
              <w:jc w:val="center"/>
            </w:pPr>
            <w:r>
              <w:rPr>
                <w:sz w:val="20"/>
              </w:rPr>
              <w:t xml:space="preserve">117,0</w:t>
            </w:r>
          </w:p>
        </w:tc>
        <w:tc>
          <w:tcPr>
            <w:tcW w:w="1077" w:type="dxa"/>
          </w:tcPr>
          <w:p>
            <w:pPr>
              <w:pStyle w:val="0"/>
              <w:jc w:val="center"/>
            </w:pPr>
            <w:r>
              <w:rPr>
                <w:sz w:val="20"/>
              </w:rPr>
              <w:t xml:space="preserve">108,8</w:t>
            </w:r>
          </w:p>
        </w:tc>
        <w:tc>
          <w:tcPr>
            <w:tcW w:w="964" w:type="dxa"/>
          </w:tcPr>
          <w:p>
            <w:pPr>
              <w:pStyle w:val="0"/>
              <w:jc w:val="center"/>
            </w:pPr>
            <w:r>
              <w:rPr>
                <w:sz w:val="20"/>
              </w:rPr>
              <w:t xml:space="preserve">108,5</w:t>
            </w:r>
          </w:p>
        </w:tc>
        <w:tc>
          <w:tcPr>
            <w:tcW w:w="964" w:type="dxa"/>
          </w:tcPr>
          <w:p>
            <w:pPr>
              <w:pStyle w:val="0"/>
              <w:jc w:val="center"/>
            </w:pPr>
            <w:r>
              <w:rPr>
                <w:sz w:val="20"/>
              </w:rPr>
              <w:t xml:space="preserve">102,1</w:t>
            </w:r>
          </w:p>
        </w:tc>
        <w:tc>
          <w:tcPr>
            <w:tcW w:w="1053" w:type="dxa"/>
          </w:tcPr>
          <w:p>
            <w:pPr>
              <w:pStyle w:val="0"/>
              <w:jc w:val="center"/>
            </w:pPr>
            <w:r>
              <w:rPr>
                <w:sz w:val="20"/>
              </w:rPr>
              <w:t xml:space="preserve">102,3</w:t>
            </w:r>
          </w:p>
        </w:tc>
        <w:tc>
          <w:tcPr>
            <w:tcW w:w="1020" w:type="dxa"/>
          </w:tcPr>
          <w:p>
            <w:pPr>
              <w:pStyle w:val="0"/>
              <w:jc w:val="center"/>
            </w:pPr>
            <w:r>
              <w:rPr>
                <w:sz w:val="20"/>
              </w:rPr>
              <w:t xml:space="preserve">102,2</w:t>
            </w:r>
          </w:p>
        </w:tc>
        <w:tc>
          <w:tcPr>
            <w:tcW w:w="964" w:type="dxa"/>
          </w:tcPr>
          <w:p>
            <w:pPr>
              <w:pStyle w:val="0"/>
              <w:jc w:val="center"/>
            </w:pPr>
            <w:r>
              <w:rPr>
                <w:sz w:val="20"/>
              </w:rPr>
              <w:t xml:space="preserve">102,1</w:t>
            </w:r>
          </w:p>
        </w:tc>
        <w:tc>
          <w:tcPr>
            <w:tcW w:w="1020" w:type="dxa"/>
          </w:tcPr>
          <w:p>
            <w:pPr>
              <w:pStyle w:val="0"/>
              <w:jc w:val="center"/>
            </w:pPr>
            <w:r>
              <w:rPr>
                <w:sz w:val="20"/>
              </w:rPr>
              <w:t xml:space="preserve">102,1</w:t>
            </w:r>
          </w:p>
        </w:tc>
        <w:tc>
          <w:tcPr>
            <w:tcW w:w="1020" w:type="dxa"/>
          </w:tcPr>
          <w:p>
            <w:pPr>
              <w:pStyle w:val="0"/>
              <w:jc w:val="center"/>
            </w:pPr>
            <w:r>
              <w:rPr>
                <w:sz w:val="20"/>
              </w:rPr>
              <w:t xml:space="preserve">102,4</w:t>
            </w:r>
          </w:p>
        </w:tc>
      </w:tr>
      <w:tr>
        <w:tc>
          <w:tcPr>
            <w:gridSpan w:val="12"/>
            <w:tcW w:w="13500" w:type="dxa"/>
          </w:tcPr>
          <w:p>
            <w:pPr>
              <w:pStyle w:val="0"/>
              <w:outlineLvl w:val="4"/>
            </w:pPr>
            <w:r>
              <w:rPr>
                <w:sz w:val="20"/>
              </w:rPr>
              <w:t xml:space="preserve">Сельское хозяйство</w:t>
            </w:r>
          </w:p>
        </w:tc>
      </w:tr>
      <w:tr>
        <w:tc>
          <w:tcPr>
            <w:tcW w:w="518" w:type="dxa"/>
          </w:tcPr>
          <w:p>
            <w:pPr>
              <w:pStyle w:val="0"/>
              <w:jc w:val="center"/>
            </w:pPr>
            <w:r>
              <w:rPr>
                <w:sz w:val="20"/>
              </w:rPr>
              <w:t xml:space="preserve">6</w:t>
            </w:r>
          </w:p>
        </w:tc>
        <w:tc>
          <w:tcPr>
            <w:tcW w:w="2716" w:type="dxa"/>
          </w:tcPr>
          <w:p>
            <w:pPr>
              <w:pStyle w:val="0"/>
            </w:pPr>
            <w:r>
              <w:rPr>
                <w:sz w:val="20"/>
              </w:rPr>
              <w:t xml:space="preserve">Продукция сельского хозяйства, млрд. рублей</w:t>
            </w:r>
          </w:p>
        </w:tc>
        <w:tc>
          <w:tcPr>
            <w:tcW w:w="1058" w:type="dxa"/>
          </w:tcPr>
          <w:p>
            <w:pPr>
              <w:pStyle w:val="0"/>
              <w:jc w:val="center"/>
            </w:pPr>
            <w:r>
              <w:rPr>
                <w:sz w:val="20"/>
              </w:rPr>
              <w:t xml:space="preserve">110,7</w:t>
            </w:r>
          </w:p>
        </w:tc>
        <w:tc>
          <w:tcPr>
            <w:tcW w:w="1126" w:type="dxa"/>
          </w:tcPr>
          <w:p>
            <w:pPr>
              <w:pStyle w:val="0"/>
              <w:jc w:val="center"/>
            </w:pPr>
            <w:r>
              <w:rPr>
                <w:sz w:val="20"/>
              </w:rPr>
              <w:t xml:space="preserve">110</w:t>
            </w:r>
          </w:p>
        </w:tc>
        <w:tc>
          <w:tcPr>
            <w:tcW w:w="1077" w:type="dxa"/>
          </w:tcPr>
          <w:p>
            <w:pPr>
              <w:pStyle w:val="0"/>
              <w:jc w:val="center"/>
            </w:pPr>
            <w:r>
              <w:rPr>
                <w:sz w:val="20"/>
              </w:rPr>
              <w:t xml:space="preserve">124</w:t>
            </w:r>
          </w:p>
        </w:tc>
        <w:tc>
          <w:tcPr>
            <w:tcW w:w="964" w:type="dxa"/>
          </w:tcPr>
          <w:p>
            <w:pPr>
              <w:pStyle w:val="0"/>
              <w:jc w:val="center"/>
            </w:pPr>
            <w:r>
              <w:rPr>
                <w:sz w:val="20"/>
              </w:rPr>
              <w:t xml:space="preserve">148,6</w:t>
            </w:r>
          </w:p>
        </w:tc>
        <w:tc>
          <w:tcPr>
            <w:tcW w:w="964" w:type="dxa"/>
          </w:tcPr>
          <w:p>
            <w:pPr>
              <w:pStyle w:val="0"/>
              <w:jc w:val="center"/>
            </w:pPr>
            <w:r>
              <w:rPr>
                <w:sz w:val="20"/>
              </w:rPr>
              <w:t xml:space="preserve">143,4</w:t>
            </w:r>
          </w:p>
        </w:tc>
        <w:tc>
          <w:tcPr>
            <w:tcW w:w="1053" w:type="dxa"/>
          </w:tcPr>
          <w:p>
            <w:pPr>
              <w:pStyle w:val="0"/>
              <w:jc w:val="center"/>
            </w:pPr>
            <w:r>
              <w:rPr>
                <w:sz w:val="20"/>
              </w:rPr>
              <w:t xml:space="preserve">153,0</w:t>
            </w:r>
          </w:p>
        </w:tc>
        <w:tc>
          <w:tcPr>
            <w:tcW w:w="1020" w:type="dxa"/>
          </w:tcPr>
          <w:p>
            <w:pPr>
              <w:pStyle w:val="0"/>
              <w:jc w:val="center"/>
            </w:pPr>
            <w:r>
              <w:rPr>
                <w:sz w:val="20"/>
              </w:rPr>
              <w:t xml:space="preserve">163,2</w:t>
            </w:r>
          </w:p>
        </w:tc>
        <w:tc>
          <w:tcPr>
            <w:tcW w:w="964" w:type="dxa"/>
          </w:tcPr>
          <w:p>
            <w:pPr>
              <w:pStyle w:val="0"/>
              <w:jc w:val="center"/>
            </w:pPr>
            <w:r>
              <w:rPr>
                <w:sz w:val="20"/>
              </w:rPr>
              <w:t xml:space="preserve">174,1</w:t>
            </w:r>
          </w:p>
        </w:tc>
        <w:tc>
          <w:tcPr>
            <w:tcW w:w="1020" w:type="dxa"/>
          </w:tcPr>
          <w:p>
            <w:pPr>
              <w:pStyle w:val="0"/>
              <w:jc w:val="center"/>
            </w:pPr>
            <w:r>
              <w:rPr>
                <w:sz w:val="20"/>
              </w:rPr>
              <w:t xml:space="preserve">185,8</w:t>
            </w:r>
          </w:p>
        </w:tc>
        <w:tc>
          <w:tcPr>
            <w:tcW w:w="1020" w:type="dxa"/>
          </w:tcPr>
          <w:p>
            <w:pPr>
              <w:pStyle w:val="0"/>
              <w:jc w:val="center"/>
            </w:pPr>
            <w:r>
              <w:rPr>
                <w:sz w:val="20"/>
              </w:rPr>
              <w:t xml:space="preserve">272,9</w:t>
            </w:r>
          </w:p>
        </w:tc>
      </w:tr>
      <w:tr>
        <w:tc>
          <w:tcPr>
            <w:tcW w:w="518" w:type="dxa"/>
          </w:tcPr>
          <w:p>
            <w:pPr>
              <w:pStyle w:val="0"/>
              <w:jc w:val="center"/>
            </w:pPr>
            <w:r>
              <w:rPr>
                <w:sz w:val="20"/>
              </w:rPr>
              <w:t xml:space="preserve">7</w:t>
            </w:r>
          </w:p>
        </w:tc>
        <w:tc>
          <w:tcPr>
            <w:tcW w:w="2716" w:type="dxa"/>
          </w:tcPr>
          <w:p>
            <w:pPr>
              <w:pStyle w:val="0"/>
            </w:pPr>
            <w:r>
              <w:rPr>
                <w:sz w:val="20"/>
              </w:rPr>
              <w:t xml:space="preserve">Индекс производства продукции сельского хозяйства, % к предыдущему году в сопоставимых ценах</w:t>
            </w:r>
          </w:p>
        </w:tc>
        <w:tc>
          <w:tcPr>
            <w:tcW w:w="1058" w:type="dxa"/>
          </w:tcPr>
          <w:p>
            <w:pPr>
              <w:pStyle w:val="0"/>
              <w:jc w:val="center"/>
            </w:pPr>
            <w:r>
              <w:rPr>
                <w:sz w:val="20"/>
              </w:rPr>
              <w:t xml:space="preserve">107</w:t>
            </w:r>
          </w:p>
        </w:tc>
        <w:tc>
          <w:tcPr>
            <w:tcW w:w="1126" w:type="dxa"/>
          </w:tcPr>
          <w:p>
            <w:pPr>
              <w:pStyle w:val="0"/>
              <w:jc w:val="center"/>
            </w:pPr>
            <w:r>
              <w:rPr>
                <w:sz w:val="20"/>
              </w:rPr>
              <w:t xml:space="preserve">107,1</w:t>
            </w:r>
          </w:p>
        </w:tc>
        <w:tc>
          <w:tcPr>
            <w:tcW w:w="1077" w:type="dxa"/>
          </w:tcPr>
          <w:p>
            <w:pPr>
              <w:pStyle w:val="0"/>
              <w:jc w:val="center"/>
            </w:pPr>
            <w:r>
              <w:rPr>
                <w:sz w:val="20"/>
              </w:rPr>
              <w:t xml:space="preserve">92,8</w:t>
            </w:r>
          </w:p>
        </w:tc>
        <w:tc>
          <w:tcPr>
            <w:tcW w:w="964" w:type="dxa"/>
          </w:tcPr>
          <w:p>
            <w:pPr>
              <w:pStyle w:val="0"/>
              <w:jc w:val="center"/>
            </w:pPr>
            <w:r>
              <w:rPr>
                <w:sz w:val="20"/>
              </w:rPr>
              <w:t xml:space="preserve">111,5</w:t>
            </w:r>
          </w:p>
        </w:tc>
        <w:tc>
          <w:tcPr>
            <w:tcW w:w="964" w:type="dxa"/>
          </w:tcPr>
          <w:p>
            <w:pPr>
              <w:pStyle w:val="0"/>
              <w:jc w:val="center"/>
            </w:pPr>
            <w:r>
              <w:rPr>
                <w:sz w:val="20"/>
              </w:rPr>
              <w:t xml:space="preserve">101,1</w:t>
            </w:r>
          </w:p>
        </w:tc>
        <w:tc>
          <w:tcPr>
            <w:tcW w:w="1053" w:type="dxa"/>
          </w:tcPr>
          <w:p>
            <w:pPr>
              <w:pStyle w:val="0"/>
              <w:jc w:val="center"/>
            </w:pPr>
            <w:r>
              <w:rPr>
                <w:sz w:val="20"/>
              </w:rPr>
              <w:t xml:space="preserve">101,3</w:t>
            </w:r>
          </w:p>
        </w:tc>
        <w:tc>
          <w:tcPr>
            <w:tcW w:w="1020" w:type="dxa"/>
          </w:tcPr>
          <w:p>
            <w:pPr>
              <w:pStyle w:val="0"/>
              <w:jc w:val="center"/>
            </w:pPr>
            <w:r>
              <w:rPr>
                <w:sz w:val="20"/>
              </w:rPr>
              <w:t xml:space="preserve">101,6</w:t>
            </w:r>
          </w:p>
        </w:tc>
        <w:tc>
          <w:tcPr>
            <w:tcW w:w="964" w:type="dxa"/>
          </w:tcPr>
          <w:p>
            <w:pPr>
              <w:pStyle w:val="0"/>
              <w:jc w:val="center"/>
            </w:pPr>
            <w:r>
              <w:rPr>
                <w:sz w:val="20"/>
              </w:rPr>
              <w:t xml:space="preserve">101,7</w:t>
            </w:r>
          </w:p>
        </w:tc>
        <w:tc>
          <w:tcPr>
            <w:tcW w:w="1020" w:type="dxa"/>
          </w:tcPr>
          <w:p>
            <w:pPr>
              <w:pStyle w:val="0"/>
              <w:jc w:val="center"/>
            </w:pPr>
            <w:r>
              <w:rPr>
                <w:sz w:val="20"/>
              </w:rPr>
              <w:t xml:space="preserve">101,9</w:t>
            </w:r>
          </w:p>
        </w:tc>
        <w:tc>
          <w:tcPr>
            <w:tcW w:w="1020" w:type="dxa"/>
          </w:tcPr>
          <w:p>
            <w:pPr>
              <w:pStyle w:val="0"/>
              <w:jc w:val="center"/>
            </w:pPr>
            <w:r>
              <w:rPr>
                <w:sz w:val="20"/>
              </w:rPr>
              <w:t xml:space="preserve">102,2</w:t>
            </w:r>
          </w:p>
        </w:tc>
      </w:tr>
      <w:tr>
        <w:tc>
          <w:tcPr>
            <w:gridSpan w:val="12"/>
            <w:tcW w:w="13500" w:type="dxa"/>
          </w:tcPr>
          <w:p>
            <w:pPr>
              <w:pStyle w:val="0"/>
              <w:outlineLvl w:val="4"/>
            </w:pPr>
            <w:r>
              <w:rPr>
                <w:sz w:val="20"/>
              </w:rPr>
              <w:t xml:space="preserve">Строительство</w:t>
            </w:r>
          </w:p>
        </w:tc>
      </w:tr>
      <w:tr>
        <w:tc>
          <w:tcPr>
            <w:tcW w:w="518" w:type="dxa"/>
          </w:tcPr>
          <w:p>
            <w:pPr>
              <w:pStyle w:val="0"/>
              <w:jc w:val="center"/>
            </w:pPr>
            <w:r>
              <w:rPr>
                <w:sz w:val="20"/>
              </w:rPr>
              <w:t xml:space="preserve">8</w:t>
            </w:r>
          </w:p>
        </w:tc>
        <w:tc>
          <w:tcPr>
            <w:tcW w:w="2716" w:type="dxa"/>
          </w:tcPr>
          <w:p>
            <w:pPr>
              <w:pStyle w:val="0"/>
            </w:pPr>
            <w:r>
              <w:rPr>
                <w:sz w:val="20"/>
              </w:rPr>
              <w:t xml:space="preserve">Объем работ, выполненных по виду деятельности "Строительство", в ценах соответствующих лет, млрд. рублей</w:t>
            </w:r>
          </w:p>
        </w:tc>
        <w:tc>
          <w:tcPr>
            <w:tcW w:w="1058" w:type="dxa"/>
          </w:tcPr>
          <w:p>
            <w:pPr>
              <w:pStyle w:val="0"/>
              <w:jc w:val="center"/>
            </w:pPr>
            <w:r>
              <w:rPr>
                <w:sz w:val="20"/>
              </w:rPr>
              <w:t xml:space="preserve">108,4</w:t>
            </w:r>
          </w:p>
        </w:tc>
        <w:tc>
          <w:tcPr>
            <w:tcW w:w="1126" w:type="dxa"/>
          </w:tcPr>
          <w:p>
            <w:pPr>
              <w:pStyle w:val="0"/>
              <w:jc w:val="center"/>
            </w:pPr>
            <w:r>
              <w:rPr>
                <w:sz w:val="20"/>
              </w:rPr>
              <w:t xml:space="preserve">129,4</w:t>
            </w:r>
          </w:p>
        </w:tc>
        <w:tc>
          <w:tcPr>
            <w:tcW w:w="1077" w:type="dxa"/>
          </w:tcPr>
          <w:p>
            <w:pPr>
              <w:pStyle w:val="0"/>
              <w:jc w:val="center"/>
            </w:pPr>
            <w:r>
              <w:rPr>
                <w:sz w:val="20"/>
              </w:rPr>
              <w:t xml:space="preserve">95,2</w:t>
            </w:r>
          </w:p>
        </w:tc>
        <w:tc>
          <w:tcPr>
            <w:tcW w:w="964" w:type="dxa"/>
          </w:tcPr>
          <w:p>
            <w:pPr>
              <w:pStyle w:val="0"/>
              <w:jc w:val="center"/>
            </w:pPr>
            <w:r>
              <w:rPr>
                <w:sz w:val="20"/>
              </w:rPr>
              <w:t xml:space="preserve">126,5</w:t>
            </w:r>
          </w:p>
        </w:tc>
        <w:tc>
          <w:tcPr>
            <w:tcW w:w="964" w:type="dxa"/>
          </w:tcPr>
          <w:p>
            <w:pPr>
              <w:pStyle w:val="0"/>
              <w:jc w:val="center"/>
            </w:pPr>
            <w:r>
              <w:rPr>
                <w:sz w:val="20"/>
              </w:rPr>
              <w:t xml:space="preserve">112,4</w:t>
            </w:r>
          </w:p>
        </w:tc>
        <w:tc>
          <w:tcPr>
            <w:tcW w:w="1053" w:type="dxa"/>
          </w:tcPr>
          <w:p>
            <w:pPr>
              <w:pStyle w:val="0"/>
              <w:jc w:val="center"/>
            </w:pPr>
            <w:r>
              <w:rPr>
                <w:sz w:val="20"/>
              </w:rPr>
              <w:t xml:space="preserve">118,2</w:t>
            </w:r>
          </w:p>
        </w:tc>
        <w:tc>
          <w:tcPr>
            <w:tcW w:w="1020" w:type="dxa"/>
          </w:tcPr>
          <w:p>
            <w:pPr>
              <w:pStyle w:val="0"/>
              <w:jc w:val="center"/>
            </w:pPr>
            <w:r>
              <w:rPr>
                <w:sz w:val="20"/>
              </w:rPr>
              <w:t xml:space="preserve">124,4</w:t>
            </w:r>
          </w:p>
        </w:tc>
        <w:tc>
          <w:tcPr>
            <w:tcW w:w="964" w:type="dxa"/>
          </w:tcPr>
          <w:p>
            <w:pPr>
              <w:pStyle w:val="0"/>
              <w:jc w:val="center"/>
            </w:pPr>
            <w:r>
              <w:rPr>
                <w:sz w:val="20"/>
              </w:rPr>
              <w:t xml:space="preserve">130</w:t>
            </w:r>
          </w:p>
        </w:tc>
        <w:tc>
          <w:tcPr>
            <w:tcW w:w="1020" w:type="dxa"/>
          </w:tcPr>
          <w:p>
            <w:pPr>
              <w:pStyle w:val="0"/>
              <w:jc w:val="center"/>
            </w:pPr>
            <w:r>
              <w:rPr>
                <w:sz w:val="20"/>
              </w:rPr>
              <w:t xml:space="preserve">135,9</w:t>
            </w:r>
          </w:p>
        </w:tc>
        <w:tc>
          <w:tcPr>
            <w:tcW w:w="1020" w:type="dxa"/>
          </w:tcPr>
          <w:p>
            <w:pPr>
              <w:pStyle w:val="0"/>
              <w:jc w:val="center"/>
            </w:pPr>
            <w:r>
              <w:rPr>
                <w:sz w:val="20"/>
              </w:rPr>
              <w:t xml:space="preserve">180,1</w:t>
            </w:r>
          </w:p>
        </w:tc>
      </w:tr>
      <w:tr>
        <w:tc>
          <w:tcPr>
            <w:tcW w:w="518" w:type="dxa"/>
          </w:tcPr>
          <w:p>
            <w:pPr>
              <w:pStyle w:val="0"/>
              <w:jc w:val="center"/>
            </w:pPr>
            <w:r>
              <w:rPr>
                <w:sz w:val="20"/>
              </w:rPr>
              <w:t xml:space="preserve">9</w:t>
            </w:r>
          </w:p>
        </w:tc>
        <w:tc>
          <w:tcPr>
            <w:tcW w:w="2716" w:type="dxa"/>
          </w:tcPr>
          <w:p>
            <w:pPr>
              <w:pStyle w:val="0"/>
            </w:pPr>
            <w:r>
              <w:rPr>
                <w:sz w:val="20"/>
              </w:rPr>
              <w:t xml:space="preserve">Индекс производства по виду деятельности "Строительство", % к пред. году в сопоставимых ценах</w:t>
            </w:r>
          </w:p>
        </w:tc>
        <w:tc>
          <w:tcPr>
            <w:tcW w:w="1058" w:type="dxa"/>
          </w:tcPr>
          <w:p>
            <w:pPr>
              <w:pStyle w:val="0"/>
              <w:jc w:val="center"/>
            </w:pPr>
            <w:r>
              <w:rPr>
                <w:sz w:val="20"/>
              </w:rPr>
              <w:t xml:space="preserve">91,4</w:t>
            </w:r>
          </w:p>
        </w:tc>
        <w:tc>
          <w:tcPr>
            <w:tcW w:w="1126" w:type="dxa"/>
          </w:tcPr>
          <w:p>
            <w:pPr>
              <w:pStyle w:val="0"/>
              <w:jc w:val="center"/>
            </w:pPr>
            <w:r>
              <w:rPr>
                <w:sz w:val="20"/>
              </w:rPr>
              <w:t xml:space="preserve">114,1</w:t>
            </w:r>
          </w:p>
        </w:tc>
        <w:tc>
          <w:tcPr>
            <w:tcW w:w="1077" w:type="dxa"/>
          </w:tcPr>
          <w:p>
            <w:pPr>
              <w:pStyle w:val="0"/>
              <w:jc w:val="center"/>
            </w:pPr>
            <w:r>
              <w:rPr>
                <w:sz w:val="20"/>
              </w:rPr>
              <w:t xml:space="preserve">68,7</w:t>
            </w:r>
          </w:p>
        </w:tc>
        <w:tc>
          <w:tcPr>
            <w:tcW w:w="964" w:type="dxa"/>
          </w:tcPr>
          <w:p>
            <w:pPr>
              <w:pStyle w:val="0"/>
              <w:jc w:val="center"/>
            </w:pPr>
            <w:r>
              <w:rPr>
                <w:sz w:val="20"/>
              </w:rPr>
              <w:t xml:space="preserve">125,5</w:t>
            </w:r>
          </w:p>
        </w:tc>
        <w:tc>
          <w:tcPr>
            <w:tcW w:w="964" w:type="dxa"/>
          </w:tcPr>
          <w:p>
            <w:pPr>
              <w:pStyle w:val="0"/>
              <w:jc w:val="center"/>
            </w:pPr>
            <w:r>
              <w:rPr>
                <w:sz w:val="20"/>
              </w:rPr>
              <w:t xml:space="preserve">99,1</w:t>
            </w:r>
          </w:p>
        </w:tc>
        <w:tc>
          <w:tcPr>
            <w:tcW w:w="1053" w:type="dxa"/>
          </w:tcPr>
          <w:p>
            <w:pPr>
              <w:pStyle w:val="0"/>
              <w:jc w:val="center"/>
            </w:pPr>
            <w:r>
              <w:rPr>
                <w:sz w:val="20"/>
              </w:rPr>
              <w:t xml:space="preserve">100,4</w:t>
            </w:r>
          </w:p>
        </w:tc>
        <w:tc>
          <w:tcPr>
            <w:tcW w:w="1020" w:type="dxa"/>
          </w:tcPr>
          <w:p>
            <w:pPr>
              <w:pStyle w:val="0"/>
              <w:jc w:val="center"/>
            </w:pPr>
            <w:r>
              <w:rPr>
                <w:sz w:val="20"/>
              </w:rPr>
              <w:t xml:space="preserve">100,9</w:t>
            </w:r>
          </w:p>
        </w:tc>
        <w:tc>
          <w:tcPr>
            <w:tcW w:w="964" w:type="dxa"/>
          </w:tcPr>
          <w:p>
            <w:pPr>
              <w:pStyle w:val="0"/>
              <w:jc w:val="center"/>
            </w:pPr>
            <w:r>
              <w:rPr>
                <w:sz w:val="20"/>
              </w:rPr>
              <w:t xml:space="preserve">100,3</w:t>
            </w:r>
          </w:p>
        </w:tc>
        <w:tc>
          <w:tcPr>
            <w:tcW w:w="1020" w:type="dxa"/>
          </w:tcPr>
          <w:p>
            <w:pPr>
              <w:pStyle w:val="0"/>
              <w:jc w:val="center"/>
            </w:pPr>
            <w:r>
              <w:rPr>
                <w:sz w:val="20"/>
              </w:rPr>
              <w:t xml:space="preserve">100,3</w:t>
            </w:r>
          </w:p>
        </w:tc>
        <w:tc>
          <w:tcPr>
            <w:tcW w:w="1020" w:type="dxa"/>
          </w:tcPr>
          <w:p>
            <w:pPr>
              <w:pStyle w:val="0"/>
              <w:jc w:val="center"/>
            </w:pPr>
            <w:r>
              <w:rPr>
                <w:sz w:val="20"/>
              </w:rPr>
              <w:t xml:space="preserve">100,8</w:t>
            </w:r>
          </w:p>
        </w:tc>
      </w:tr>
      <w:tr>
        <w:tc>
          <w:tcPr>
            <w:tcW w:w="518" w:type="dxa"/>
          </w:tcPr>
          <w:p>
            <w:pPr>
              <w:pStyle w:val="0"/>
              <w:jc w:val="center"/>
            </w:pPr>
            <w:r>
              <w:rPr>
                <w:sz w:val="20"/>
              </w:rPr>
              <w:t xml:space="preserve">10</w:t>
            </w:r>
          </w:p>
        </w:tc>
        <w:tc>
          <w:tcPr>
            <w:tcW w:w="2716" w:type="dxa"/>
          </w:tcPr>
          <w:p>
            <w:pPr>
              <w:pStyle w:val="0"/>
            </w:pPr>
            <w:r>
              <w:rPr>
                <w:sz w:val="20"/>
              </w:rPr>
              <w:t xml:space="preserve">Ввод в действие жилых домов, тыс. кв. м общей площади</w:t>
            </w:r>
          </w:p>
        </w:tc>
        <w:tc>
          <w:tcPr>
            <w:tcW w:w="1058" w:type="dxa"/>
          </w:tcPr>
          <w:p>
            <w:pPr>
              <w:pStyle w:val="0"/>
              <w:jc w:val="center"/>
            </w:pPr>
            <w:r>
              <w:rPr>
                <w:sz w:val="20"/>
              </w:rPr>
              <w:t xml:space="preserve">913,6</w:t>
            </w:r>
          </w:p>
        </w:tc>
        <w:tc>
          <w:tcPr>
            <w:tcW w:w="1126" w:type="dxa"/>
          </w:tcPr>
          <w:p>
            <w:pPr>
              <w:pStyle w:val="0"/>
              <w:jc w:val="center"/>
            </w:pPr>
            <w:r>
              <w:rPr>
                <w:sz w:val="20"/>
              </w:rPr>
              <w:t xml:space="preserve">1 104,7</w:t>
            </w:r>
          </w:p>
        </w:tc>
        <w:tc>
          <w:tcPr>
            <w:tcW w:w="1077" w:type="dxa"/>
          </w:tcPr>
          <w:p>
            <w:pPr>
              <w:pStyle w:val="0"/>
              <w:jc w:val="center"/>
            </w:pPr>
            <w:r>
              <w:rPr>
                <w:sz w:val="20"/>
              </w:rPr>
              <w:t xml:space="preserve">917</w:t>
            </w:r>
          </w:p>
        </w:tc>
        <w:tc>
          <w:tcPr>
            <w:tcW w:w="964" w:type="dxa"/>
          </w:tcPr>
          <w:p>
            <w:pPr>
              <w:pStyle w:val="0"/>
              <w:jc w:val="center"/>
            </w:pPr>
            <w:r>
              <w:rPr>
                <w:sz w:val="20"/>
              </w:rPr>
              <w:t xml:space="preserve">1 006,5</w:t>
            </w:r>
          </w:p>
        </w:tc>
        <w:tc>
          <w:tcPr>
            <w:tcW w:w="964" w:type="dxa"/>
          </w:tcPr>
          <w:p>
            <w:pPr>
              <w:pStyle w:val="0"/>
              <w:jc w:val="center"/>
            </w:pPr>
            <w:r>
              <w:rPr>
                <w:sz w:val="20"/>
              </w:rPr>
              <w:t xml:space="preserve">614,0</w:t>
            </w:r>
          </w:p>
        </w:tc>
        <w:tc>
          <w:tcPr>
            <w:tcW w:w="1053" w:type="dxa"/>
          </w:tcPr>
          <w:p>
            <w:pPr>
              <w:pStyle w:val="0"/>
              <w:jc w:val="center"/>
            </w:pPr>
            <w:r>
              <w:rPr>
                <w:sz w:val="20"/>
              </w:rPr>
              <w:t xml:space="preserve">603,0</w:t>
            </w:r>
          </w:p>
        </w:tc>
        <w:tc>
          <w:tcPr>
            <w:tcW w:w="1020" w:type="dxa"/>
          </w:tcPr>
          <w:p>
            <w:pPr>
              <w:pStyle w:val="0"/>
              <w:jc w:val="center"/>
            </w:pPr>
            <w:r>
              <w:rPr>
                <w:sz w:val="20"/>
              </w:rPr>
              <w:t xml:space="preserve">600,0</w:t>
            </w:r>
          </w:p>
        </w:tc>
        <w:tc>
          <w:tcPr>
            <w:tcW w:w="964" w:type="dxa"/>
          </w:tcPr>
          <w:p>
            <w:pPr>
              <w:pStyle w:val="0"/>
              <w:jc w:val="center"/>
            </w:pPr>
            <w:r>
              <w:rPr>
                <w:sz w:val="20"/>
              </w:rPr>
              <w:t xml:space="preserve">619,0</w:t>
            </w:r>
          </w:p>
        </w:tc>
        <w:tc>
          <w:tcPr>
            <w:tcW w:w="1020" w:type="dxa"/>
          </w:tcPr>
          <w:p>
            <w:pPr>
              <w:pStyle w:val="0"/>
              <w:jc w:val="center"/>
            </w:pPr>
            <w:r>
              <w:rPr>
                <w:sz w:val="20"/>
              </w:rPr>
              <w:t xml:space="preserve">793,0</w:t>
            </w:r>
          </w:p>
        </w:tc>
        <w:tc>
          <w:tcPr>
            <w:tcW w:w="1020" w:type="dxa"/>
          </w:tcPr>
          <w:p>
            <w:pPr>
              <w:pStyle w:val="0"/>
              <w:jc w:val="center"/>
            </w:pPr>
            <w:r>
              <w:rPr>
                <w:sz w:val="20"/>
              </w:rPr>
              <w:t xml:space="preserve">833,3</w:t>
            </w:r>
          </w:p>
        </w:tc>
      </w:tr>
      <w:tr>
        <w:tc>
          <w:tcPr>
            <w:gridSpan w:val="12"/>
            <w:tcW w:w="13500" w:type="dxa"/>
          </w:tcPr>
          <w:p>
            <w:pPr>
              <w:pStyle w:val="0"/>
              <w:outlineLvl w:val="4"/>
            </w:pPr>
            <w:r>
              <w:rPr>
                <w:sz w:val="20"/>
              </w:rPr>
              <w:t xml:space="preserve">Торговля и услуги населению</w:t>
            </w:r>
          </w:p>
        </w:tc>
      </w:tr>
      <w:tr>
        <w:tc>
          <w:tcPr>
            <w:tcW w:w="518" w:type="dxa"/>
          </w:tcPr>
          <w:p>
            <w:pPr>
              <w:pStyle w:val="0"/>
              <w:jc w:val="center"/>
            </w:pPr>
            <w:r>
              <w:rPr>
                <w:sz w:val="20"/>
              </w:rPr>
              <w:t xml:space="preserve">11</w:t>
            </w:r>
          </w:p>
        </w:tc>
        <w:tc>
          <w:tcPr>
            <w:tcW w:w="2716" w:type="dxa"/>
          </w:tcPr>
          <w:p>
            <w:pPr>
              <w:pStyle w:val="0"/>
            </w:pPr>
            <w:r>
              <w:rPr>
                <w:sz w:val="20"/>
              </w:rPr>
              <w:t xml:space="preserve">Индекс потребительских цен на конец года, % к декабрю предыдущего года</w:t>
            </w:r>
          </w:p>
        </w:tc>
        <w:tc>
          <w:tcPr>
            <w:tcW w:w="1058" w:type="dxa"/>
          </w:tcPr>
          <w:p>
            <w:pPr>
              <w:pStyle w:val="0"/>
              <w:jc w:val="center"/>
            </w:pPr>
            <w:r>
              <w:rPr>
                <w:sz w:val="20"/>
              </w:rPr>
              <w:t xml:space="preserve">109,7</w:t>
            </w:r>
          </w:p>
        </w:tc>
        <w:tc>
          <w:tcPr>
            <w:tcW w:w="1126" w:type="dxa"/>
          </w:tcPr>
          <w:p>
            <w:pPr>
              <w:pStyle w:val="0"/>
              <w:jc w:val="center"/>
            </w:pPr>
            <w:r>
              <w:rPr>
                <w:sz w:val="20"/>
              </w:rPr>
              <w:t xml:space="preserve">107,6</w:t>
            </w:r>
          </w:p>
        </w:tc>
        <w:tc>
          <w:tcPr>
            <w:tcW w:w="1077" w:type="dxa"/>
          </w:tcPr>
          <w:p>
            <w:pPr>
              <w:pStyle w:val="0"/>
              <w:jc w:val="center"/>
            </w:pPr>
            <w:r>
              <w:rPr>
                <w:sz w:val="20"/>
              </w:rPr>
              <w:t xml:space="preserve">109,1</w:t>
            </w:r>
          </w:p>
        </w:tc>
        <w:tc>
          <w:tcPr>
            <w:tcW w:w="964" w:type="dxa"/>
          </w:tcPr>
          <w:p>
            <w:pPr>
              <w:pStyle w:val="0"/>
              <w:jc w:val="center"/>
            </w:pPr>
            <w:r>
              <w:rPr>
                <w:sz w:val="20"/>
              </w:rPr>
              <w:t xml:space="preserve">107,02</w:t>
            </w:r>
          </w:p>
        </w:tc>
        <w:tc>
          <w:tcPr>
            <w:tcW w:w="964" w:type="dxa"/>
          </w:tcPr>
          <w:p>
            <w:pPr>
              <w:pStyle w:val="0"/>
              <w:jc w:val="center"/>
            </w:pPr>
            <w:r>
              <w:rPr>
                <w:sz w:val="20"/>
              </w:rPr>
              <w:t xml:space="preserve">104,3</w:t>
            </w:r>
          </w:p>
        </w:tc>
        <w:tc>
          <w:tcPr>
            <w:tcW w:w="1053" w:type="dxa"/>
          </w:tcPr>
          <w:p>
            <w:pPr>
              <w:pStyle w:val="0"/>
              <w:jc w:val="center"/>
            </w:pPr>
            <w:r>
              <w:rPr>
                <w:sz w:val="20"/>
              </w:rPr>
              <w:t xml:space="preserve">104,0</w:t>
            </w:r>
          </w:p>
        </w:tc>
        <w:tc>
          <w:tcPr>
            <w:tcW w:w="1020" w:type="dxa"/>
          </w:tcPr>
          <w:p>
            <w:pPr>
              <w:pStyle w:val="0"/>
              <w:jc w:val="center"/>
            </w:pPr>
            <w:r>
              <w:rPr>
                <w:sz w:val="20"/>
              </w:rPr>
              <w:t xml:space="preserve">104,0</w:t>
            </w:r>
          </w:p>
        </w:tc>
        <w:tc>
          <w:tcPr>
            <w:tcW w:w="964" w:type="dxa"/>
          </w:tcPr>
          <w:p>
            <w:pPr>
              <w:pStyle w:val="0"/>
              <w:jc w:val="center"/>
            </w:pPr>
            <w:r>
              <w:rPr>
                <w:sz w:val="20"/>
              </w:rPr>
              <w:t xml:space="preserve">104,0</w:t>
            </w:r>
          </w:p>
        </w:tc>
        <w:tc>
          <w:tcPr>
            <w:tcW w:w="1020" w:type="dxa"/>
          </w:tcPr>
          <w:p>
            <w:pPr>
              <w:pStyle w:val="0"/>
              <w:jc w:val="center"/>
            </w:pPr>
            <w:r>
              <w:rPr>
                <w:sz w:val="20"/>
              </w:rPr>
              <w:t xml:space="preserve">104,0</w:t>
            </w:r>
          </w:p>
        </w:tc>
        <w:tc>
          <w:tcPr>
            <w:tcW w:w="1020" w:type="dxa"/>
          </w:tcPr>
          <w:p>
            <w:pPr>
              <w:pStyle w:val="0"/>
              <w:jc w:val="center"/>
            </w:pPr>
            <w:r>
              <w:rPr>
                <w:sz w:val="20"/>
              </w:rPr>
              <w:t xml:space="preserve">104,0</w:t>
            </w:r>
          </w:p>
        </w:tc>
      </w:tr>
      <w:tr>
        <w:tc>
          <w:tcPr>
            <w:tcW w:w="518" w:type="dxa"/>
          </w:tcPr>
          <w:p>
            <w:pPr>
              <w:pStyle w:val="0"/>
              <w:jc w:val="center"/>
            </w:pPr>
            <w:r>
              <w:rPr>
                <w:sz w:val="20"/>
              </w:rPr>
              <w:t xml:space="preserve">12</w:t>
            </w:r>
          </w:p>
        </w:tc>
        <w:tc>
          <w:tcPr>
            <w:tcW w:w="2716" w:type="dxa"/>
          </w:tcPr>
          <w:p>
            <w:pPr>
              <w:pStyle w:val="0"/>
            </w:pPr>
            <w:r>
              <w:rPr>
                <w:sz w:val="20"/>
              </w:rPr>
              <w:t xml:space="preserve">Индекс потребительских цен в среднем за год, % к предыдущему году</w:t>
            </w:r>
          </w:p>
        </w:tc>
        <w:tc>
          <w:tcPr>
            <w:tcW w:w="1058" w:type="dxa"/>
          </w:tcPr>
          <w:p>
            <w:pPr>
              <w:pStyle w:val="0"/>
              <w:jc w:val="center"/>
            </w:pPr>
            <w:r>
              <w:rPr>
                <w:sz w:val="20"/>
              </w:rPr>
              <w:t xml:space="preserve">111,7</w:t>
            </w:r>
          </w:p>
        </w:tc>
        <w:tc>
          <w:tcPr>
            <w:tcW w:w="1126" w:type="dxa"/>
          </w:tcPr>
          <w:p>
            <w:pPr>
              <w:pStyle w:val="0"/>
              <w:jc w:val="center"/>
            </w:pPr>
            <w:r>
              <w:rPr>
                <w:sz w:val="20"/>
              </w:rPr>
              <w:t xml:space="preserve">105,7</w:t>
            </w:r>
          </w:p>
        </w:tc>
        <w:tc>
          <w:tcPr>
            <w:tcW w:w="1077" w:type="dxa"/>
          </w:tcPr>
          <w:p>
            <w:pPr>
              <w:pStyle w:val="0"/>
              <w:jc w:val="center"/>
            </w:pPr>
            <w:r>
              <w:rPr>
                <w:sz w:val="20"/>
              </w:rPr>
              <w:t xml:space="preserve">108,1</w:t>
            </w:r>
          </w:p>
        </w:tc>
        <w:tc>
          <w:tcPr>
            <w:tcW w:w="964" w:type="dxa"/>
          </w:tcPr>
          <w:p>
            <w:pPr>
              <w:pStyle w:val="0"/>
              <w:jc w:val="center"/>
            </w:pPr>
            <w:r>
              <w:rPr>
                <w:sz w:val="20"/>
              </w:rPr>
              <w:t xml:space="preserve">109,3</w:t>
            </w:r>
          </w:p>
        </w:tc>
        <w:tc>
          <w:tcPr>
            <w:tcW w:w="964" w:type="dxa"/>
          </w:tcPr>
          <w:p>
            <w:pPr>
              <w:pStyle w:val="0"/>
              <w:jc w:val="center"/>
            </w:pPr>
            <w:r>
              <w:rPr>
                <w:sz w:val="20"/>
              </w:rPr>
              <w:t xml:space="preserve">105,6</w:t>
            </w:r>
          </w:p>
        </w:tc>
        <w:tc>
          <w:tcPr>
            <w:tcW w:w="1053" w:type="dxa"/>
          </w:tcPr>
          <w:p>
            <w:pPr>
              <w:pStyle w:val="0"/>
              <w:jc w:val="center"/>
            </w:pPr>
            <w:r>
              <w:rPr>
                <w:sz w:val="20"/>
              </w:rPr>
              <w:t xml:space="preserve">104,0</w:t>
            </w:r>
          </w:p>
        </w:tc>
        <w:tc>
          <w:tcPr>
            <w:tcW w:w="1020" w:type="dxa"/>
          </w:tcPr>
          <w:p>
            <w:pPr>
              <w:pStyle w:val="0"/>
              <w:jc w:val="center"/>
            </w:pPr>
            <w:r>
              <w:rPr>
                <w:sz w:val="20"/>
              </w:rPr>
              <w:t xml:space="preserve">104,0</w:t>
            </w:r>
          </w:p>
        </w:tc>
        <w:tc>
          <w:tcPr>
            <w:tcW w:w="964" w:type="dxa"/>
          </w:tcPr>
          <w:p>
            <w:pPr>
              <w:pStyle w:val="0"/>
              <w:jc w:val="center"/>
            </w:pPr>
            <w:r>
              <w:rPr>
                <w:sz w:val="20"/>
              </w:rPr>
              <w:t xml:space="preserve">104,0</w:t>
            </w:r>
          </w:p>
        </w:tc>
        <w:tc>
          <w:tcPr>
            <w:tcW w:w="1020" w:type="dxa"/>
          </w:tcPr>
          <w:p>
            <w:pPr>
              <w:pStyle w:val="0"/>
              <w:jc w:val="center"/>
            </w:pPr>
            <w:r>
              <w:rPr>
                <w:sz w:val="20"/>
              </w:rPr>
              <w:t xml:space="preserve">104,0</w:t>
            </w:r>
          </w:p>
        </w:tc>
        <w:tc>
          <w:tcPr>
            <w:tcW w:w="1020" w:type="dxa"/>
          </w:tcPr>
          <w:p>
            <w:pPr>
              <w:pStyle w:val="0"/>
              <w:jc w:val="center"/>
            </w:pPr>
            <w:r>
              <w:rPr>
                <w:sz w:val="20"/>
              </w:rPr>
              <w:t xml:space="preserve">104,0</w:t>
            </w:r>
          </w:p>
        </w:tc>
      </w:tr>
      <w:tr>
        <w:tc>
          <w:tcPr>
            <w:tcW w:w="518" w:type="dxa"/>
          </w:tcPr>
          <w:p>
            <w:pPr>
              <w:pStyle w:val="0"/>
              <w:jc w:val="center"/>
            </w:pPr>
            <w:r>
              <w:rPr>
                <w:sz w:val="20"/>
              </w:rPr>
              <w:t xml:space="preserve">13</w:t>
            </w:r>
          </w:p>
        </w:tc>
        <w:tc>
          <w:tcPr>
            <w:tcW w:w="2716" w:type="dxa"/>
          </w:tcPr>
          <w:p>
            <w:pPr>
              <w:pStyle w:val="0"/>
            </w:pPr>
            <w:r>
              <w:rPr>
                <w:sz w:val="20"/>
              </w:rPr>
              <w:t xml:space="preserve">Оборот розничной торговли, млрд. рублей</w:t>
            </w:r>
          </w:p>
        </w:tc>
        <w:tc>
          <w:tcPr>
            <w:tcW w:w="1058" w:type="dxa"/>
          </w:tcPr>
          <w:p>
            <w:pPr>
              <w:pStyle w:val="0"/>
              <w:jc w:val="center"/>
            </w:pPr>
            <w:r>
              <w:rPr>
                <w:sz w:val="20"/>
              </w:rPr>
              <w:t xml:space="preserve">375,8</w:t>
            </w:r>
          </w:p>
        </w:tc>
        <w:tc>
          <w:tcPr>
            <w:tcW w:w="1126" w:type="dxa"/>
          </w:tcPr>
          <w:p>
            <w:pPr>
              <w:pStyle w:val="0"/>
              <w:jc w:val="center"/>
            </w:pPr>
            <w:r>
              <w:rPr>
                <w:sz w:val="20"/>
              </w:rPr>
              <w:t xml:space="preserve">435,5</w:t>
            </w:r>
          </w:p>
        </w:tc>
        <w:tc>
          <w:tcPr>
            <w:tcW w:w="1077" w:type="dxa"/>
          </w:tcPr>
          <w:p>
            <w:pPr>
              <w:pStyle w:val="0"/>
              <w:jc w:val="center"/>
            </w:pPr>
            <w:r>
              <w:rPr>
                <w:sz w:val="20"/>
              </w:rPr>
              <w:t xml:space="preserve">527,3</w:t>
            </w:r>
          </w:p>
        </w:tc>
        <w:tc>
          <w:tcPr>
            <w:tcW w:w="964" w:type="dxa"/>
          </w:tcPr>
          <w:p>
            <w:pPr>
              <w:pStyle w:val="0"/>
              <w:jc w:val="center"/>
            </w:pPr>
            <w:r>
              <w:rPr>
                <w:sz w:val="20"/>
              </w:rPr>
              <w:t xml:space="preserve">559,6</w:t>
            </w:r>
          </w:p>
        </w:tc>
        <w:tc>
          <w:tcPr>
            <w:tcW w:w="964" w:type="dxa"/>
          </w:tcPr>
          <w:p>
            <w:pPr>
              <w:pStyle w:val="0"/>
              <w:jc w:val="center"/>
            </w:pPr>
            <w:r>
              <w:rPr>
                <w:sz w:val="20"/>
              </w:rPr>
              <w:t xml:space="preserve">595,3</w:t>
            </w:r>
          </w:p>
        </w:tc>
        <w:tc>
          <w:tcPr>
            <w:tcW w:w="1053" w:type="dxa"/>
          </w:tcPr>
          <w:p>
            <w:pPr>
              <w:pStyle w:val="0"/>
              <w:jc w:val="center"/>
            </w:pPr>
            <w:r>
              <w:rPr>
                <w:sz w:val="20"/>
              </w:rPr>
              <w:t xml:space="preserve">628,0</w:t>
            </w:r>
          </w:p>
        </w:tc>
        <w:tc>
          <w:tcPr>
            <w:tcW w:w="1020" w:type="dxa"/>
          </w:tcPr>
          <w:p>
            <w:pPr>
              <w:pStyle w:val="0"/>
              <w:jc w:val="center"/>
            </w:pPr>
            <w:r>
              <w:rPr>
                <w:sz w:val="20"/>
              </w:rPr>
              <w:t xml:space="preserve">666,8</w:t>
            </w:r>
          </w:p>
        </w:tc>
        <w:tc>
          <w:tcPr>
            <w:tcW w:w="964" w:type="dxa"/>
          </w:tcPr>
          <w:p>
            <w:pPr>
              <w:pStyle w:val="0"/>
              <w:jc w:val="center"/>
            </w:pPr>
            <w:r>
              <w:rPr>
                <w:sz w:val="20"/>
              </w:rPr>
              <w:t xml:space="preserve">710,8</w:t>
            </w:r>
          </w:p>
        </w:tc>
        <w:tc>
          <w:tcPr>
            <w:tcW w:w="1020" w:type="dxa"/>
          </w:tcPr>
          <w:p>
            <w:pPr>
              <w:pStyle w:val="0"/>
              <w:jc w:val="center"/>
            </w:pPr>
            <w:r>
              <w:rPr>
                <w:sz w:val="20"/>
              </w:rPr>
              <w:t xml:space="preserve">757,7</w:t>
            </w:r>
          </w:p>
        </w:tc>
        <w:tc>
          <w:tcPr>
            <w:tcW w:w="1020" w:type="dxa"/>
          </w:tcPr>
          <w:p>
            <w:pPr>
              <w:pStyle w:val="0"/>
              <w:jc w:val="center"/>
            </w:pPr>
            <w:r>
              <w:rPr>
                <w:sz w:val="20"/>
              </w:rPr>
              <w:t xml:space="preserve">1 100,1</w:t>
            </w:r>
          </w:p>
        </w:tc>
      </w:tr>
      <w:tr>
        <w:tc>
          <w:tcPr>
            <w:tcW w:w="518" w:type="dxa"/>
          </w:tcPr>
          <w:p>
            <w:pPr>
              <w:pStyle w:val="0"/>
              <w:jc w:val="center"/>
            </w:pPr>
            <w:r>
              <w:rPr>
                <w:sz w:val="20"/>
              </w:rPr>
              <w:t xml:space="preserve">14</w:t>
            </w:r>
          </w:p>
        </w:tc>
        <w:tc>
          <w:tcPr>
            <w:tcW w:w="2716" w:type="dxa"/>
          </w:tcPr>
          <w:p>
            <w:pPr>
              <w:pStyle w:val="0"/>
            </w:pPr>
            <w:r>
              <w:rPr>
                <w:sz w:val="20"/>
              </w:rPr>
              <w:t xml:space="preserve">Темп роста оборота розничной торговли, % к предыдущему году в сопоставимых ценах</w:t>
            </w:r>
          </w:p>
        </w:tc>
        <w:tc>
          <w:tcPr>
            <w:tcW w:w="1058" w:type="dxa"/>
          </w:tcPr>
          <w:p>
            <w:pPr>
              <w:pStyle w:val="0"/>
              <w:jc w:val="center"/>
            </w:pPr>
            <w:r>
              <w:rPr>
                <w:sz w:val="20"/>
              </w:rPr>
              <w:t xml:space="preserve">96,1</w:t>
            </w:r>
          </w:p>
        </w:tc>
        <w:tc>
          <w:tcPr>
            <w:tcW w:w="1126" w:type="dxa"/>
          </w:tcPr>
          <w:p>
            <w:pPr>
              <w:pStyle w:val="0"/>
              <w:jc w:val="center"/>
            </w:pPr>
            <w:r>
              <w:rPr>
                <w:sz w:val="20"/>
              </w:rPr>
              <w:t xml:space="preserve">111,0</w:t>
            </w:r>
          </w:p>
        </w:tc>
        <w:tc>
          <w:tcPr>
            <w:tcW w:w="1077" w:type="dxa"/>
          </w:tcPr>
          <w:p>
            <w:pPr>
              <w:pStyle w:val="0"/>
              <w:jc w:val="center"/>
            </w:pPr>
            <w:r>
              <w:rPr>
                <w:sz w:val="20"/>
              </w:rPr>
              <w:t xml:space="preserve">112,2</w:t>
            </w:r>
          </w:p>
        </w:tc>
        <w:tc>
          <w:tcPr>
            <w:tcW w:w="964" w:type="dxa"/>
          </w:tcPr>
          <w:p>
            <w:pPr>
              <w:pStyle w:val="0"/>
              <w:jc w:val="center"/>
            </w:pPr>
            <w:r>
              <w:rPr>
                <w:sz w:val="20"/>
              </w:rPr>
              <w:t xml:space="preserve">98,5</w:t>
            </w:r>
          </w:p>
        </w:tc>
        <w:tc>
          <w:tcPr>
            <w:tcW w:w="964" w:type="dxa"/>
          </w:tcPr>
          <w:p>
            <w:pPr>
              <w:pStyle w:val="0"/>
              <w:jc w:val="center"/>
            </w:pPr>
            <w:r>
              <w:rPr>
                <w:sz w:val="20"/>
              </w:rPr>
              <w:t xml:space="preserve">100,4</w:t>
            </w:r>
          </w:p>
        </w:tc>
        <w:tc>
          <w:tcPr>
            <w:tcW w:w="1053" w:type="dxa"/>
          </w:tcPr>
          <w:p>
            <w:pPr>
              <w:pStyle w:val="0"/>
              <w:jc w:val="center"/>
            </w:pPr>
            <w:r>
              <w:rPr>
                <w:sz w:val="20"/>
              </w:rPr>
              <w:t xml:space="preserve">101,4</w:t>
            </w:r>
          </w:p>
        </w:tc>
        <w:tc>
          <w:tcPr>
            <w:tcW w:w="1020" w:type="dxa"/>
          </w:tcPr>
          <w:p>
            <w:pPr>
              <w:pStyle w:val="0"/>
              <w:jc w:val="center"/>
            </w:pPr>
            <w:r>
              <w:rPr>
                <w:sz w:val="20"/>
              </w:rPr>
              <w:t xml:space="preserve">102,1</w:t>
            </w:r>
          </w:p>
        </w:tc>
        <w:tc>
          <w:tcPr>
            <w:tcW w:w="964" w:type="dxa"/>
          </w:tcPr>
          <w:p>
            <w:pPr>
              <w:pStyle w:val="0"/>
              <w:jc w:val="center"/>
            </w:pPr>
            <w:r>
              <w:rPr>
                <w:sz w:val="20"/>
              </w:rPr>
              <w:t xml:space="preserve">102,4</w:t>
            </w:r>
          </w:p>
        </w:tc>
        <w:tc>
          <w:tcPr>
            <w:tcW w:w="1020" w:type="dxa"/>
          </w:tcPr>
          <w:p>
            <w:pPr>
              <w:pStyle w:val="0"/>
              <w:jc w:val="center"/>
            </w:pPr>
            <w:r>
              <w:rPr>
                <w:sz w:val="20"/>
              </w:rPr>
              <w:t xml:space="preserve">102,5</w:t>
            </w:r>
          </w:p>
        </w:tc>
        <w:tc>
          <w:tcPr>
            <w:tcW w:w="1020" w:type="dxa"/>
          </w:tcPr>
          <w:p>
            <w:pPr>
              <w:pStyle w:val="0"/>
              <w:jc w:val="center"/>
            </w:pPr>
            <w:r>
              <w:rPr>
                <w:sz w:val="20"/>
              </w:rPr>
              <w:t xml:space="preserve">102,4</w:t>
            </w:r>
          </w:p>
        </w:tc>
      </w:tr>
      <w:tr>
        <w:tc>
          <w:tcPr>
            <w:tcW w:w="518" w:type="dxa"/>
          </w:tcPr>
          <w:p>
            <w:pPr>
              <w:pStyle w:val="0"/>
              <w:jc w:val="center"/>
            </w:pPr>
            <w:r>
              <w:rPr>
                <w:sz w:val="20"/>
              </w:rPr>
              <w:t xml:space="preserve">15</w:t>
            </w:r>
          </w:p>
        </w:tc>
        <w:tc>
          <w:tcPr>
            <w:tcW w:w="2716" w:type="dxa"/>
          </w:tcPr>
          <w:p>
            <w:pPr>
              <w:pStyle w:val="0"/>
            </w:pPr>
            <w:r>
              <w:rPr>
                <w:sz w:val="20"/>
              </w:rPr>
              <w:t xml:space="preserve">Объем платных услуг населению, млрд. рублей</w:t>
            </w:r>
          </w:p>
        </w:tc>
        <w:tc>
          <w:tcPr>
            <w:tcW w:w="1058" w:type="dxa"/>
          </w:tcPr>
          <w:p>
            <w:pPr>
              <w:pStyle w:val="0"/>
              <w:jc w:val="center"/>
            </w:pPr>
            <w:r>
              <w:rPr>
                <w:sz w:val="20"/>
              </w:rPr>
              <w:t xml:space="preserve">95,8</w:t>
            </w:r>
          </w:p>
        </w:tc>
        <w:tc>
          <w:tcPr>
            <w:tcW w:w="1126" w:type="dxa"/>
          </w:tcPr>
          <w:p>
            <w:pPr>
              <w:pStyle w:val="0"/>
              <w:jc w:val="center"/>
            </w:pPr>
            <w:r>
              <w:rPr>
                <w:sz w:val="20"/>
              </w:rPr>
              <w:t xml:space="preserve">107,4</w:t>
            </w:r>
          </w:p>
        </w:tc>
        <w:tc>
          <w:tcPr>
            <w:tcW w:w="1077" w:type="dxa"/>
          </w:tcPr>
          <w:p>
            <w:pPr>
              <w:pStyle w:val="0"/>
              <w:jc w:val="center"/>
            </w:pPr>
            <w:r>
              <w:rPr>
                <w:sz w:val="20"/>
              </w:rPr>
              <w:t xml:space="preserve">115,8</w:t>
            </w:r>
          </w:p>
        </w:tc>
        <w:tc>
          <w:tcPr>
            <w:tcW w:w="964" w:type="dxa"/>
          </w:tcPr>
          <w:p>
            <w:pPr>
              <w:pStyle w:val="0"/>
              <w:jc w:val="center"/>
            </w:pPr>
            <w:r>
              <w:rPr>
                <w:sz w:val="20"/>
              </w:rPr>
              <w:t xml:space="preserve">131,2</w:t>
            </w:r>
          </w:p>
        </w:tc>
        <w:tc>
          <w:tcPr>
            <w:tcW w:w="964" w:type="dxa"/>
          </w:tcPr>
          <w:p>
            <w:pPr>
              <w:pStyle w:val="0"/>
              <w:jc w:val="center"/>
            </w:pPr>
            <w:r>
              <w:rPr>
                <w:sz w:val="20"/>
              </w:rPr>
              <w:t xml:space="preserve">139,5</w:t>
            </w:r>
          </w:p>
        </w:tc>
        <w:tc>
          <w:tcPr>
            <w:tcW w:w="1053" w:type="dxa"/>
          </w:tcPr>
          <w:p>
            <w:pPr>
              <w:pStyle w:val="0"/>
              <w:jc w:val="center"/>
            </w:pPr>
            <w:r>
              <w:rPr>
                <w:sz w:val="20"/>
              </w:rPr>
              <w:t xml:space="preserve">147,4</w:t>
            </w:r>
          </w:p>
        </w:tc>
        <w:tc>
          <w:tcPr>
            <w:tcW w:w="1020" w:type="dxa"/>
          </w:tcPr>
          <w:p>
            <w:pPr>
              <w:pStyle w:val="0"/>
              <w:jc w:val="center"/>
            </w:pPr>
            <w:r>
              <w:rPr>
                <w:sz w:val="20"/>
              </w:rPr>
              <w:t xml:space="preserve">155,7</w:t>
            </w:r>
          </w:p>
        </w:tc>
        <w:tc>
          <w:tcPr>
            <w:tcW w:w="964" w:type="dxa"/>
          </w:tcPr>
          <w:p>
            <w:pPr>
              <w:pStyle w:val="0"/>
              <w:jc w:val="center"/>
            </w:pPr>
            <w:r>
              <w:rPr>
                <w:sz w:val="20"/>
              </w:rPr>
              <w:t xml:space="preserve">165,2</w:t>
            </w:r>
          </w:p>
        </w:tc>
        <w:tc>
          <w:tcPr>
            <w:tcW w:w="1020" w:type="dxa"/>
          </w:tcPr>
          <w:p>
            <w:pPr>
              <w:pStyle w:val="0"/>
              <w:jc w:val="center"/>
            </w:pPr>
            <w:r>
              <w:rPr>
                <w:sz w:val="20"/>
              </w:rPr>
              <w:t xml:space="preserve">175,6</w:t>
            </w:r>
          </w:p>
        </w:tc>
        <w:tc>
          <w:tcPr>
            <w:tcW w:w="1020" w:type="dxa"/>
          </w:tcPr>
          <w:p>
            <w:pPr>
              <w:pStyle w:val="0"/>
              <w:jc w:val="center"/>
            </w:pPr>
            <w:r>
              <w:rPr>
                <w:sz w:val="20"/>
              </w:rPr>
              <w:t xml:space="preserve">252,7</w:t>
            </w:r>
          </w:p>
        </w:tc>
      </w:tr>
      <w:tr>
        <w:tc>
          <w:tcPr>
            <w:tcW w:w="518" w:type="dxa"/>
          </w:tcPr>
          <w:p>
            <w:pPr>
              <w:pStyle w:val="0"/>
              <w:jc w:val="center"/>
            </w:pPr>
            <w:r>
              <w:rPr>
                <w:sz w:val="20"/>
              </w:rPr>
              <w:t xml:space="preserve">16</w:t>
            </w:r>
          </w:p>
        </w:tc>
        <w:tc>
          <w:tcPr>
            <w:tcW w:w="2716" w:type="dxa"/>
          </w:tcPr>
          <w:p>
            <w:pPr>
              <w:pStyle w:val="0"/>
            </w:pPr>
            <w:r>
              <w:rPr>
                <w:sz w:val="20"/>
              </w:rPr>
              <w:t xml:space="preserve">Индекс физического объема платных услуг населению, % к предыдущему году в сопоставимых ценах</w:t>
            </w:r>
          </w:p>
        </w:tc>
        <w:tc>
          <w:tcPr>
            <w:tcW w:w="1058" w:type="dxa"/>
          </w:tcPr>
          <w:p>
            <w:pPr>
              <w:pStyle w:val="0"/>
              <w:jc w:val="center"/>
            </w:pPr>
            <w:r>
              <w:rPr>
                <w:sz w:val="20"/>
              </w:rPr>
              <w:t xml:space="preserve">107,2</w:t>
            </w:r>
          </w:p>
        </w:tc>
        <w:tc>
          <w:tcPr>
            <w:tcW w:w="1126" w:type="dxa"/>
          </w:tcPr>
          <w:p>
            <w:pPr>
              <w:pStyle w:val="0"/>
              <w:jc w:val="center"/>
            </w:pPr>
            <w:r>
              <w:rPr>
                <w:sz w:val="20"/>
              </w:rPr>
              <w:t xml:space="preserve">102,2</w:t>
            </w:r>
          </w:p>
        </w:tc>
        <w:tc>
          <w:tcPr>
            <w:tcW w:w="1077" w:type="dxa"/>
          </w:tcPr>
          <w:p>
            <w:pPr>
              <w:pStyle w:val="0"/>
              <w:jc w:val="center"/>
            </w:pPr>
            <w:r>
              <w:rPr>
                <w:sz w:val="20"/>
              </w:rPr>
              <w:t xml:space="preserve">100,3</w:t>
            </w:r>
          </w:p>
        </w:tc>
        <w:tc>
          <w:tcPr>
            <w:tcW w:w="964" w:type="dxa"/>
          </w:tcPr>
          <w:p>
            <w:pPr>
              <w:pStyle w:val="0"/>
              <w:jc w:val="center"/>
            </w:pPr>
            <w:r>
              <w:rPr>
                <w:sz w:val="20"/>
              </w:rPr>
              <w:t xml:space="preserve">101,2</w:t>
            </w:r>
          </w:p>
        </w:tc>
        <w:tc>
          <w:tcPr>
            <w:tcW w:w="964" w:type="dxa"/>
          </w:tcPr>
          <w:p>
            <w:pPr>
              <w:pStyle w:val="0"/>
              <w:jc w:val="center"/>
            </w:pPr>
            <w:r>
              <w:rPr>
                <w:sz w:val="20"/>
              </w:rPr>
              <w:t xml:space="preserve">100,4</w:t>
            </w:r>
          </w:p>
        </w:tc>
        <w:tc>
          <w:tcPr>
            <w:tcW w:w="1053" w:type="dxa"/>
          </w:tcPr>
          <w:p>
            <w:pPr>
              <w:pStyle w:val="0"/>
              <w:jc w:val="center"/>
            </w:pPr>
            <w:r>
              <w:rPr>
                <w:sz w:val="20"/>
              </w:rPr>
              <w:t xml:space="preserve">100,8</w:t>
            </w:r>
          </w:p>
        </w:tc>
        <w:tc>
          <w:tcPr>
            <w:tcW w:w="1020" w:type="dxa"/>
          </w:tcPr>
          <w:p>
            <w:pPr>
              <w:pStyle w:val="0"/>
              <w:jc w:val="center"/>
            </w:pPr>
            <w:r>
              <w:rPr>
                <w:sz w:val="20"/>
              </w:rPr>
              <w:t xml:space="preserve">101,6</w:t>
            </w:r>
          </w:p>
        </w:tc>
        <w:tc>
          <w:tcPr>
            <w:tcW w:w="964" w:type="dxa"/>
          </w:tcPr>
          <w:p>
            <w:pPr>
              <w:pStyle w:val="0"/>
              <w:jc w:val="center"/>
            </w:pPr>
            <w:r>
              <w:rPr>
                <w:sz w:val="20"/>
              </w:rPr>
              <w:t xml:space="preserve">102,0</w:t>
            </w:r>
          </w:p>
        </w:tc>
        <w:tc>
          <w:tcPr>
            <w:tcW w:w="1020" w:type="dxa"/>
          </w:tcPr>
          <w:p>
            <w:pPr>
              <w:pStyle w:val="0"/>
              <w:jc w:val="center"/>
            </w:pPr>
            <w:r>
              <w:rPr>
                <w:sz w:val="20"/>
              </w:rPr>
              <w:t xml:space="preserve">102,2</w:t>
            </w:r>
          </w:p>
        </w:tc>
        <w:tc>
          <w:tcPr>
            <w:tcW w:w="1020" w:type="dxa"/>
          </w:tcPr>
          <w:p>
            <w:pPr>
              <w:pStyle w:val="0"/>
              <w:jc w:val="center"/>
            </w:pPr>
            <w:r>
              <w:rPr>
                <w:sz w:val="20"/>
              </w:rPr>
              <w:t xml:space="preserve">102,2</w:t>
            </w:r>
          </w:p>
        </w:tc>
      </w:tr>
      <w:tr>
        <w:tc>
          <w:tcPr>
            <w:gridSpan w:val="12"/>
            <w:tcW w:w="13500" w:type="dxa"/>
          </w:tcPr>
          <w:p>
            <w:pPr>
              <w:pStyle w:val="0"/>
              <w:outlineLvl w:val="4"/>
            </w:pPr>
            <w:r>
              <w:rPr>
                <w:sz w:val="20"/>
              </w:rPr>
              <w:t xml:space="preserve">Малое и среднее предпринимательство, включая микропредприятия</w:t>
            </w:r>
          </w:p>
        </w:tc>
      </w:tr>
      <w:tr>
        <w:tc>
          <w:tcPr>
            <w:tcW w:w="518" w:type="dxa"/>
          </w:tcPr>
          <w:p>
            <w:pPr>
              <w:pStyle w:val="0"/>
              <w:jc w:val="center"/>
            </w:pPr>
            <w:r>
              <w:rPr>
                <w:sz w:val="20"/>
              </w:rPr>
              <w:t xml:space="preserve">17</w:t>
            </w:r>
          </w:p>
        </w:tc>
        <w:tc>
          <w:tcPr>
            <w:tcW w:w="2716" w:type="dxa"/>
          </w:tcPr>
          <w:p>
            <w:pPr>
              <w:pStyle w:val="0"/>
            </w:pPr>
            <w:r>
              <w:rPr>
                <w:sz w:val="20"/>
              </w:rPr>
              <w:t xml:space="preserve">Количество малых и средних предприятий, включая микропредприятия (на конец года), ед.</w:t>
            </w:r>
          </w:p>
        </w:tc>
        <w:tc>
          <w:tcPr>
            <w:tcW w:w="1058" w:type="dxa"/>
          </w:tcPr>
          <w:p>
            <w:pPr>
              <w:pStyle w:val="0"/>
              <w:jc w:val="center"/>
            </w:pPr>
            <w:r>
              <w:rPr>
                <w:sz w:val="20"/>
              </w:rPr>
              <w:t xml:space="preserve">17 545</w:t>
            </w:r>
          </w:p>
        </w:tc>
        <w:tc>
          <w:tcPr>
            <w:tcW w:w="1126" w:type="dxa"/>
          </w:tcPr>
          <w:p>
            <w:pPr>
              <w:pStyle w:val="0"/>
              <w:jc w:val="center"/>
            </w:pPr>
            <w:r>
              <w:rPr>
                <w:sz w:val="20"/>
              </w:rPr>
              <w:t xml:space="preserve">17 289</w:t>
            </w:r>
          </w:p>
        </w:tc>
        <w:tc>
          <w:tcPr>
            <w:tcW w:w="1077" w:type="dxa"/>
          </w:tcPr>
          <w:p>
            <w:pPr>
              <w:pStyle w:val="0"/>
              <w:jc w:val="center"/>
            </w:pPr>
            <w:r>
              <w:rPr>
                <w:sz w:val="20"/>
              </w:rPr>
              <w:t xml:space="preserve">16 625</w:t>
            </w:r>
          </w:p>
        </w:tc>
        <w:tc>
          <w:tcPr>
            <w:tcW w:w="964" w:type="dxa"/>
          </w:tcPr>
          <w:p>
            <w:pPr>
              <w:pStyle w:val="0"/>
              <w:jc w:val="center"/>
            </w:pPr>
            <w:r>
              <w:rPr>
                <w:sz w:val="20"/>
              </w:rPr>
              <w:t xml:space="preserve">16 065</w:t>
            </w:r>
          </w:p>
        </w:tc>
        <w:tc>
          <w:tcPr>
            <w:tcW w:w="964" w:type="dxa"/>
          </w:tcPr>
          <w:p>
            <w:pPr>
              <w:pStyle w:val="0"/>
              <w:jc w:val="center"/>
            </w:pPr>
            <w:r>
              <w:rPr>
                <w:sz w:val="20"/>
              </w:rPr>
              <w:t xml:space="preserve">15 616</w:t>
            </w:r>
          </w:p>
        </w:tc>
        <w:tc>
          <w:tcPr>
            <w:tcW w:w="1053" w:type="dxa"/>
          </w:tcPr>
          <w:p>
            <w:pPr>
              <w:pStyle w:val="0"/>
              <w:jc w:val="center"/>
            </w:pPr>
            <w:r>
              <w:rPr>
                <w:sz w:val="20"/>
              </w:rPr>
              <w:t xml:space="preserve">15 296</w:t>
            </w:r>
          </w:p>
        </w:tc>
        <w:tc>
          <w:tcPr>
            <w:tcW w:w="1020" w:type="dxa"/>
          </w:tcPr>
          <w:p>
            <w:pPr>
              <w:pStyle w:val="0"/>
              <w:jc w:val="center"/>
            </w:pPr>
            <w:r>
              <w:rPr>
                <w:sz w:val="20"/>
              </w:rPr>
              <w:t xml:space="preserve">15 006</w:t>
            </w:r>
          </w:p>
        </w:tc>
        <w:tc>
          <w:tcPr>
            <w:tcW w:w="964" w:type="dxa"/>
          </w:tcPr>
          <w:p>
            <w:pPr>
              <w:pStyle w:val="0"/>
              <w:jc w:val="center"/>
            </w:pPr>
            <w:r>
              <w:rPr>
                <w:sz w:val="20"/>
              </w:rPr>
              <w:t xml:space="preserve">14 897</w:t>
            </w:r>
          </w:p>
        </w:tc>
        <w:tc>
          <w:tcPr>
            <w:tcW w:w="1020" w:type="dxa"/>
          </w:tcPr>
          <w:p>
            <w:pPr>
              <w:pStyle w:val="0"/>
              <w:jc w:val="center"/>
            </w:pPr>
            <w:r>
              <w:rPr>
                <w:sz w:val="20"/>
              </w:rPr>
              <w:t xml:space="preserve">14 802</w:t>
            </w:r>
          </w:p>
        </w:tc>
        <w:tc>
          <w:tcPr>
            <w:tcW w:w="1020" w:type="dxa"/>
          </w:tcPr>
          <w:p>
            <w:pPr>
              <w:pStyle w:val="0"/>
              <w:jc w:val="center"/>
            </w:pPr>
            <w:r>
              <w:rPr>
                <w:sz w:val="20"/>
              </w:rPr>
              <w:t xml:space="preserve">14 717</w:t>
            </w:r>
          </w:p>
        </w:tc>
      </w:tr>
      <w:tr>
        <w:tc>
          <w:tcPr>
            <w:tcW w:w="518" w:type="dxa"/>
          </w:tcPr>
          <w:p>
            <w:pPr>
              <w:pStyle w:val="0"/>
              <w:jc w:val="center"/>
            </w:pPr>
            <w:r>
              <w:rPr>
                <w:sz w:val="20"/>
              </w:rPr>
              <w:t xml:space="preserve">18</w:t>
            </w:r>
          </w:p>
        </w:tc>
        <w:tc>
          <w:tcPr>
            <w:tcW w:w="2716" w:type="dxa"/>
          </w:tcPr>
          <w:p>
            <w:pPr>
              <w:pStyle w:val="0"/>
            </w:pPr>
            <w:r>
              <w:rPr>
                <w:sz w:val="20"/>
              </w:rPr>
              <w:t xml:space="preserve">Среднесписочная численность работников малых и средних предприятий (без внешних совместителей), тыс. человек</w:t>
            </w:r>
          </w:p>
        </w:tc>
        <w:tc>
          <w:tcPr>
            <w:tcW w:w="1058" w:type="dxa"/>
          </w:tcPr>
          <w:p>
            <w:pPr>
              <w:pStyle w:val="0"/>
              <w:jc w:val="center"/>
            </w:pPr>
            <w:r>
              <w:rPr>
                <w:sz w:val="20"/>
              </w:rPr>
              <w:t xml:space="preserve">112,1</w:t>
            </w:r>
          </w:p>
        </w:tc>
        <w:tc>
          <w:tcPr>
            <w:tcW w:w="1126" w:type="dxa"/>
          </w:tcPr>
          <w:p>
            <w:pPr>
              <w:pStyle w:val="0"/>
              <w:jc w:val="center"/>
            </w:pPr>
            <w:r>
              <w:rPr>
                <w:sz w:val="20"/>
              </w:rPr>
              <w:t xml:space="preserve">111,4</w:t>
            </w:r>
          </w:p>
        </w:tc>
        <w:tc>
          <w:tcPr>
            <w:tcW w:w="1077" w:type="dxa"/>
          </w:tcPr>
          <w:p>
            <w:pPr>
              <w:pStyle w:val="0"/>
              <w:jc w:val="center"/>
            </w:pPr>
            <w:r>
              <w:rPr>
                <w:sz w:val="20"/>
              </w:rPr>
              <w:t xml:space="preserve">109,6</w:t>
            </w:r>
          </w:p>
        </w:tc>
        <w:tc>
          <w:tcPr>
            <w:tcW w:w="964" w:type="dxa"/>
          </w:tcPr>
          <w:p>
            <w:pPr>
              <w:pStyle w:val="0"/>
              <w:jc w:val="center"/>
            </w:pPr>
            <w:r>
              <w:rPr>
                <w:sz w:val="20"/>
              </w:rPr>
              <w:t xml:space="preserve">106,9</w:t>
            </w:r>
          </w:p>
        </w:tc>
        <w:tc>
          <w:tcPr>
            <w:tcW w:w="964" w:type="dxa"/>
          </w:tcPr>
          <w:p>
            <w:pPr>
              <w:pStyle w:val="0"/>
              <w:jc w:val="center"/>
            </w:pPr>
            <w:r>
              <w:rPr>
                <w:sz w:val="20"/>
              </w:rPr>
              <w:t xml:space="preserve">105,3</w:t>
            </w:r>
          </w:p>
        </w:tc>
        <w:tc>
          <w:tcPr>
            <w:tcW w:w="1053" w:type="dxa"/>
          </w:tcPr>
          <w:p>
            <w:pPr>
              <w:pStyle w:val="0"/>
              <w:jc w:val="center"/>
            </w:pPr>
            <w:r>
              <w:rPr>
                <w:sz w:val="20"/>
              </w:rPr>
              <w:t xml:space="preserve">103,3</w:t>
            </w:r>
          </w:p>
        </w:tc>
        <w:tc>
          <w:tcPr>
            <w:tcW w:w="1020" w:type="dxa"/>
          </w:tcPr>
          <w:p>
            <w:pPr>
              <w:pStyle w:val="0"/>
              <w:jc w:val="center"/>
            </w:pPr>
            <w:r>
              <w:rPr>
                <w:sz w:val="20"/>
              </w:rPr>
              <w:t xml:space="preserve">101,5</w:t>
            </w:r>
          </w:p>
        </w:tc>
        <w:tc>
          <w:tcPr>
            <w:tcW w:w="964" w:type="dxa"/>
          </w:tcPr>
          <w:p>
            <w:pPr>
              <w:pStyle w:val="0"/>
              <w:jc w:val="center"/>
            </w:pPr>
            <w:r>
              <w:rPr>
                <w:sz w:val="20"/>
              </w:rPr>
              <w:t xml:space="preserve">99,8</w:t>
            </w:r>
          </w:p>
        </w:tc>
        <w:tc>
          <w:tcPr>
            <w:tcW w:w="1020" w:type="dxa"/>
          </w:tcPr>
          <w:p>
            <w:pPr>
              <w:pStyle w:val="0"/>
              <w:jc w:val="center"/>
            </w:pPr>
            <w:r>
              <w:rPr>
                <w:sz w:val="20"/>
              </w:rPr>
              <w:t xml:space="preserve">98,3</w:t>
            </w:r>
          </w:p>
        </w:tc>
        <w:tc>
          <w:tcPr>
            <w:tcW w:w="1020" w:type="dxa"/>
          </w:tcPr>
          <w:p>
            <w:pPr>
              <w:pStyle w:val="0"/>
              <w:jc w:val="center"/>
            </w:pPr>
            <w:r>
              <w:rPr>
                <w:sz w:val="20"/>
              </w:rPr>
              <w:t xml:space="preserve">97,1</w:t>
            </w:r>
          </w:p>
        </w:tc>
      </w:tr>
      <w:tr>
        <w:tc>
          <w:tcPr>
            <w:tcW w:w="518" w:type="dxa"/>
          </w:tcPr>
          <w:p>
            <w:pPr>
              <w:pStyle w:val="0"/>
              <w:jc w:val="center"/>
            </w:pPr>
            <w:r>
              <w:rPr>
                <w:sz w:val="20"/>
              </w:rPr>
              <w:t xml:space="preserve">19</w:t>
            </w:r>
          </w:p>
        </w:tc>
        <w:tc>
          <w:tcPr>
            <w:tcW w:w="2716" w:type="dxa"/>
          </w:tcPr>
          <w:p>
            <w:pPr>
              <w:pStyle w:val="0"/>
            </w:pPr>
            <w:r>
              <w:rPr>
                <w:sz w:val="20"/>
              </w:rPr>
              <w:t xml:space="preserve">Оборот малых и средних предприятий, включая микропредприятия, млрд. рублей</w:t>
            </w:r>
          </w:p>
        </w:tc>
        <w:tc>
          <w:tcPr>
            <w:tcW w:w="1058" w:type="dxa"/>
          </w:tcPr>
          <w:p>
            <w:pPr>
              <w:pStyle w:val="0"/>
              <w:jc w:val="center"/>
            </w:pPr>
            <w:r>
              <w:rPr>
                <w:sz w:val="20"/>
              </w:rPr>
              <w:t xml:space="preserve">543,7</w:t>
            </w:r>
          </w:p>
        </w:tc>
        <w:tc>
          <w:tcPr>
            <w:tcW w:w="1126" w:type="dxa"/>
          </w:tcPr>
          <w:p>
            <w:pPr>
              <w:pStyle w:val="0"/>
              <w:jc w:val="center"/>
            </w:pPr>
            <w:r>
              <w:rPr>
                <w:sz w:val="20"/>
              </w:rPr>
              <w:t xml:space="preserve">585,6</w:t>
            </w:r>
          </w:p>
        </w:tc>
        <w:tc>
          <w:tcPr>
            <w:tcW w:w="1077" w:type="dxa"/>
          </w:tcPr>
          <w:p>
            <w:pPr>
              <w:pStyle w:val="0"/>
              <w:jc w:val="center"/>
            </w:pPr>
            <w:r>
              <w:rPr>
                <w:sz w:val="20"/>
              </w:rPr>
              <w:t xml:space="preserve">651,0</w:t>
            </w:r>
          </w:p>
        </w:tc>
        <w:tc>
          <w:tcPr>
            <w:tcW w:w="964" w:type="dxa"/>
          </w:tcPr>
          <w:p>
            <w:pPr>
              <w:pStyle w:val="0"/>
              <w:jc w:val="center"/>
            </w:pPr>
            <w:r>
              <w:rPr>
                <w:sz w:val="20"/>
              </w:rPr>
              <w:t xml:space="preserve">673,8 &lt;*&gt;</w:t>
            </w:r>
          </w:p>
        </w:tc>
        <w:tc>
          <w:tcPr>
            <w:tcW w:w="964" w:type="dxa"/>
          </w:tcPr>
          <w:p>
            <w:pPr>
              <w:pStyle w:val="0"/>
              <w:jc w:val="center"/>
            </w:pPr>
            <w:r>
              <w:rPr>
                <w:sz w:val="20"/>
              </w:rPr>
              <w:t xml:space="preserve">690,0</w:t>
            </w:r>
          </w:p>
        </w:tc>
        <w:tc>
          <w:tcPr>
            <w:tcW w:w="1053" w:type="dxa"/>
          </w:tcPr>
          <w:p>
            <w:pPr>
              <w:pStyle w:val="0"/>
              <w:jc w:val="center"/>
            </w:pPr>
            <w:r>
              <w:rPr>
                <w:sz w:val="20"/>
              </w:rPr>
              <w:t xml:space="preserve">707,2</w:t>
            </w:r>
          </w:p>
        </w:tc>
        <w:tc>
          <w:tcPr>
            <w:tcW w:w="1020" w:type="dxa"/>
          </w:tcPr>
          <w:p>
            <w:pPr>
              <w:pStyle w:val="0"/>
              <w:jc w:val="center"/>
            </w:pPr>
            <w:r>
              <w:rPr>
                <w:sz w:val="20"/>
              </w:rPr>
              <w:t xml:space="preserve">724,9</w:t>
            </w:r>
          </w:p>
        </w:tc>
        <w:tc>
          <w:tcPr>
            <w:tcW w:w="964" w:type="dxa"/>
          </w:tcPr>
          <w:p>
            <w:pPr>
              <w:pStyle w:val="0"/>
              <w:jc w:val="center"/>
            </w:pPr>
            <w:r>
              <w:rPr>
                <w:sz w:val="20"/>
              </w:rPr>
              <w:t xml:space="preserve">743,0</w:t>
            </w:r>
          </w:p>
        </w:tc>
        <w:tc>
          <w:tcPr>
            <w:tcW w:w="1020" w:type="dxa"/>
          </w:tcPr>
          <w:p>
            <w:pPr>
              <w:pStyle w:val="0"/>
              <w:jc w:val="center"/>
            </w:pPr>
            <w:r>
              <w:rPr>
                <w:sz w:val="20"/>
              </w:rPr>
              <w:t xml:space="preserve">761,7</w:t>
            </w:r>
          </w:p>
        </w:tc>
        <w:tc>
          <w:tcPr>
            <w:tcW w:w="1020" w:type="dxa"/>
          </w:tcPr>
          <w:p>
            <w:pPr>
              <w:pStyle w:val="0"/>
              <w:jc w:val="center"/>
            </w:pPr>
            <w:r>
              <w:rPr>
                <w:sz w:val="20"/>
              </w:rPr>
              <w:t xml:space="preserve">885,6</w:t>
            </w:r>
          </w:p>
        </w:tc>
      </w:tr>
      <w:tr>
        <w:tc>
          <w:tcPr>
            <w:gridSpan w:val="12"/>
            <w:tcW w:w="13500" w:type="dxa"/>
          </w:tcPr>
          <w:p>
            <w:pPr>
              <w:pStyle w:val="0"/>
              <w:outlineLvl w:val="4"/>
            </w:pPr>
            <w:r>
              <w:rPr>
                <w:sz w:val="20"/>
              </w:rPr>
              <w:t xml:space="preserve">Инвестиции</w:t>
            </w:r>
          </w:p>
        </w:tc>
      </w:tr>
      <w:tr>
        <w:tc>
          <w:tcPr>
            <w:tcW w:w="518" w:type="dxa"/>
          </w:tcPr>
          <w:p>
            <w:pPr>
              <w:pStyle w:val="0"/>
              <w:jc w:val="center"/>
            </w:pPr>
            <w:r>
              <w:rPr>
                <w:sz w:val="20"/>
              </w:rPr>
              <w:t xml:space="preserve">20</w:t>
            </w:r>
          </w:p>
        </w:tc>
        <w:tc>
          <w:tcPr>
            <w:tcW w:w="2716" w:type="dxa"/>
          </w:tcPr>
          <w:p>
            <w:pPr>
              <w:pStyle w:val="0"/>
            </w:pPr>
            <w:r>
              <w:rPr>
                <w:sz w:val="20"/>
              </w:rPr>
              <w:t xml:space="preserve">Инвестиции в основной капитал, млрд. рублей</w:t>
            </w:r>
          </w:p>
        </w:tc>
        <w:tc>
          <w:tcPr>
            <w:tcW w:w="1058" w:type="dxa"/>
          </w:tcPr>
          <w:p>
            <w:pPr>
              <w:pStyle w:val="0"/>
              <w:jc w:val="center"/>
            </w:pPr>
            <w:r>
              <w:rPr>
                <w:sz w:val="20"/>
              </w:rPr>
              <w:t xml:space="preserve">212,3</w:t>
            </w:r>
          </w:p>
        </w:tc>
        <w:tc>
          <w:tcPr>
            <w:tcW w:w="1126" w:type="dxa"/>
          </w:tcPr>
          <w:p>
            <w:pPr>
              <w:pStyle w:val="0"/>
              <w:jc w:val="center"/>
            </w:pPr>
            <w:r>
              <w:rPr>
                <w:sz w:val="20"/>
              </w:rPr>
              <w:t xml:space="preserve">235,1</w:t>
            </w:r>
          </w:p>
        </w:tc>
        <w:tc>
          <w:tcPr>
            <w:tcW w:w="1077" w:type="dxa"/>
          </w:tcPr>
          <w:p>
            <w:pPr>
              <w:pStyle w:val="0"/>
              <w:jc w:val="center"/>
            </w:pPr>
            <w:r>
              <w:rPr>
                <w:sz w:val="20"/>
              </w:rPr>
              <w:t xml:space="preserve">272,9</w:t>
            </w:r>
          </w:p>
        </w:tc>
        <w:tc>
          <w:tcPr>
            <w:tcW w:w="964" w:type="dxa"/>
          </w:tcPr>
          <w:p>
            <w:pPr>
              <w:pStyle w:val="0"/>
              <w:jc w:val="center"/>
            </w:pPr>
            <w:r>
              <w:rPr>
                <w:sz w:val="20"/>
              </w:rPr>
              <w:t xml:space="preserve">306,7</w:t>
            </w:r>
          </w:p>
        </w:tc>
        <w:tc>
          <w:tcPr>
            <w:tcW w:w="964" w:type="dxa"/>
          </w:tcPr>
          <w:p>
            <w:pPr>
              <w:pStyle w:val="0"/>
              <w:jc w:val="center"/>
            </w:pPr>
            <w:r>
              <w:rPr>
                <w:sz w:val="20"/>
              </w:rPr>
              <w:t xml:space="preserve">307,8</w:t>
            </w:r>
          </w:p>
        </w:tc>
        <w:tc>
          <w:tcPr>
            <w:tcW w:w="1053" w:type="dxa"/>
          </w:tcPr>
          <w:p>
            <w:pPr>
              <w:pStyle w:val="0"/>
              <w:jc w:val="center"/>
            </w:pPr>
            <w:r>
              <w:rPr>
                <w:sz w:val="20"/>
              </w:rPr>
              <w:t xml:space="preserve">327,9</w:t>
            </w:r>
          </w:p>
        </w:tc>
        <w:tc>
          <w:tcPr>
            <w:tcW w:w="1020" w:type="dxa"/>
          </w:tcPr>
          <w:p>
            <w:pPr>
              <w:pStyle w:val="0"/>
              <w:jc w:val="center"/>
            </w:pPr>
            <w:r>
              <w:rPr>
                <w:sz w:val="20"/>
              </w:rPr>
              <w:t xml:space="preserve">352,4</w:t>
            </w:r>
          </w:p>
        </w:tc>
        <w:tc>
          <w:tcPr>
            <w:tcW w:w="964" w:type="dxa"/>
          </w:tcPr>
          <w:p>
            <w:pPr>
              <w:pStyle w:val="0"/>
              <w:jc w:val="center"/>
            </w:pPr>
            <w:r>
              <w:rPr>
                <w:sz w:val="20"/>
              </w:rPr>
              <w:t xml:space="preserve">370,9</w:t>
            </w:r>
          </w:p>
        </w:tc>
        <w:tc>
          <w:tcPr>
            <w:tcW w:w="1020" w:type="dxa"/>
          </w:tcPr>
          <w:p>
            <w:pPr>
              <w:pStyle w:val="0"/>
              <w:jc w:val="center"/>
            </w:pPr>
            <w:r>
              <w:rPr>
                <w:sz w:val="20"/>
              </w:rPr>
              <w:t xml:space="preserve">390,3</w:t>
            </w:r>
          </w:p>
        </w:tc>
        <w:tc>
          <w:tcPr>
            <w:tcW w:w="1020" w:type="dxa"/>
          </w:tcPr>
          <w:p>
            <w:pPr>
              <w:pStyle w:val="0"/>
              <w:jc w:val="center"/>
            </w:pPr>
            <w:r>
              <w:rPr>
                <w:sz w:val="20"/>
              </w:rPr>
              <w:t xml:space="preserve">530,1</w:t>
            </w:r>
          </w:p>
        </w:tc>
      </w:tr>
      <w:tr>
        <w:tc>
          <w:tcPr>
            <w:gridSpan w:val="12"/>
            <w:tcW w:w="13500" w:type="dxa"/>
          </w:tcPr>
          <w:p>
            <w:pPr>
              <w:pStyle w:val="0"/>
              <w:outlineLvl w:val="4"/>
            </w:pPr>
            <w:r>
              <w:rPr>
                <w:sz w:val="20"/>
              </w:rPr>
              <w:t xml:space="preserve">Труд и занятость</w:t>
            </w:r>
          </w:p>
        </w:tc>
      </w:tr>
      <w:tr>
        <w:tc>
          <w:tcPr>
            <w:tcW w:w="518" w:type="dxa"/>
          </w:tcPr>
          <w:p>
            <w:pPr>
              <w:pStyle w:val="0"/>
              <w:jc w:val="center"/>
            </w:pPr>
            <w:r>
              <w:rPr>
                <w:sz w:val="20"/>
              </w:rPr>
              <w:t xml:space="preserve">21</w:t>
            </w:r>
          </w:p>
        </w:tc>
        <w:tc>
          <w:tcPr>
            <w:tcW w:w="2716" w:type="dxa"/>
          </w:tcPr>
          <w:p>
            <w:pPr>
              <w:pStyle w:val="0"/>
            </w:pPr>
            <w:r>
              <w:rPr>
                <w:sz w:val="20"/>
              </w:rPr>
              <w:t xml:space="preserve">Численность рабочей силы, тыс. человек</w:t>
            </w:r>
          </w:p>
        </w:tc>
        <w:tc>
          <w:tcPr>
            <w:tcW w:w="1058" w:type="dxa"/>
          </w:tcPr>
          <w:p>
            <w:pPr>
              <w:pStyle w:val="0"/>
              <w:jc w:val="center"/>
            </w:pPr>
            <w:r>
              <w:rPr>
                <w:sz w:val="20"/>
              </w:rPr>
              <w:t xml:space="preserve">827,9</w:t>
            </w:r>
          </w:p>
        </w:tc>
        <w:tc>
          <w:tcPr>
            <w:tcW w:w="1126" w:type="dxa"/>
          </w:tcPr>
          <w:p>
            <w:pPr>
              <w:pStyle w:val="0"/>
              <w:jc w:val="center"/>
            </w:pPr>
            <w:r>
              <w:rPr>
                <w:sz w:val="20"/>
              </w:rPr>
              <w:t xml:space="preserve">799,8</w:t>
            </w:r>
          </w:p>
        </w:tc>
        <w:tc>
          <w:tcPr>
            <w:tcW w:w="1077" w:type="dxa"/>
          </w:tcPr>
          <w:p>
            <w:pPr>
              <w:pStyle w:val="0"/>
              <w:jc w:val="center"/>
            </w:pPr>
            <w:r>
              <w:rPr>
                <w:sz w:val="20"/>
              </w:rPr>
              <w:t xml:space="preserve">802,1</w:t>
            </w:r>
          </w:p>
        </w:tc>
        <w:tc>
          <w:tcPr>
            <w:tcW w:w="964" w:type="dxa"/>
          </w:tcPr>
          <w:p>
            <w:pPr>
              <w:pStyle w:val="0"/>
              <w:jc w:val="center"/>
            </w:pPr>
            <w:r>
              <w:rPr>
                <w:sz w:val="20"/>
              </w:rPr>
              <w:t xml:space="preserve">795,0 &lt;*&gt;</w:t>
            </w:r>
          </w:p>
        </w:tc>
        <w:tc>
          <w:tcPr>
            <w:tcW w:w="964" w:type="dxa"/>
          </w:tcPr>
          <w:p>
            <w:pPr>
              <w:pStyle w:val="0"/>
              <w:jc w:val="center"/>
            </w:pPr>
            <w:r>
              <w:rPr>
                <w:sz w:val="20"/>
              </w:rPr>
              <w:t xml:space="preserve">795,8</w:t>
            </w:r>
          </w:p>
        </w:tc>
        <w:tc>
          <w:tcPr>
            <w:tcW w:w="1053" w:type="dxa"/>
          </w:tcPr>
          <w:p>
            <w:pPr>
              <w:pStyle w:val="0"/>
              <w:jc w:val="center"/>
            </w:pPr>
            <w:r>
              <w:rPr>
                <w:sz w:val="20"/>
              </w:rPr>
              <w:t xml:space="preserve">796,0</w:t>
            </w:r>
          </w:p>
        </w:tc>
        <w:tc>
          <w:tcPr>
            <w:tcW w:w="1020" w:type="dxa"/>
          </w:tcPr>
          <w:p>
            <w:pPr>
              <w:pStyle w:val="0"/>
              <w:jc w:val="center"/>
            </w:pPr>
            <w:r>
              <w:rPr>
                <w:sz w:val="20"/>
              </w:rPr>
              <w:t xml:space="preserve">796,2</w:t>
            </w:r>
          </w:p>
        </w:tc>
        <w:tc>
          <w:tcPr>
            <w:tcW w:w="964" w:type="dxa"/>
          </w:tcPr>
          <w:p>
            <w:pPr>
              <w:pStyle w:val="0"/>
              <w:jc w:val="center"/>
            </w:pPr>
            <w:r>
              <w:rPr>
                <w:sz w:val="20"/>
              </w:rPr>
              <w:t xml:space="preserve">796,3</w:t>
            </w:r>
          </w:p>
        </w:tc>
        <w:tc>
          <w:tcPr>
            <w:tcW w:w="1020" w:type="dxa"/>
          </w:tcPr>
          <w:p>
            <w:pPr>
              <w:pStyle w:val="0"/>
              <w:jc w:val="center"/>
            </w:pPr>
            <w:r>
              <w:rPr>
                <w:sz w:val="20"/>
              </w:rPr>
              <w:t xml:space="preserve">796,4</w:t>
            </w:r>
          </w:p>
        </w:tc>
        <w:tc>
          <w:tcPr>
            <w:tcW w:w="1020" w:type="dxa"/>
          </w:tcPr>
          <w:p>
            <w:pPr>
              <w:pStyle w:val="0"/>
              <w:jc w:val="center"/>
            </w:pPr>
            <w:r>
              <w:rPr>
                <w:sz w:val="20"/>
              </w:rPr>
              <w:t xml:space="preserve">795,8</w:t>
            </w:r>
          </w:p>
        </w:tc>
      </w:tr>
      <w:tr>
        <w:tc>
          <w:tcPr>
            <w:tcW w:w="518" w:type="dxa"/>
          </w:tcPr>
          <w:p>
            <w:pPr>
              <w:pStyle w:val="0"/>
              <w:jc w:val="center"/>
            </w:pPr>
            <w:r>
              <w:rPr>
                <w:sz w:val="20"/>
              </w:rPr>
              <w:t xml:space="preserve">22</w:t>
            </w:r>
          </w:p>
        </w:tc>
        <w:tc>
          <w:tcPr>
            <w:tcW w:w="2716" w:type="dxa"/>
          </w:tcPr>
          <w:p>
            <w:pPr>
              <w:pStyle w:val="0"/>
            </w:pPr>
            <w:r>
              <w:rPr>
                <w:sz w:val="20"/>
              </w:rPr>
              <w:t xml:space="preserve">Численность занятых в экономике, тыс. человек</w:t>
            </w:r>
          </w:p>
        </w:tc>
        <w:tc>
          <w:tcPr>
            <w:tcW w:w="1058" w:type="dxa"/>
          </w:tcPr>
          <w:p>
            <w:pPr>
              <w:pStyle w:val="0"/>
              <w:jc w:val="center"/>
            </w:pPr>
            <w:r>
              <w:rPr>
                <w:sz w:val="20"/>
              </w:rPr>
              <w:t xml:space="preserve">716,0</w:t>
            </w:r>
          </w:p>
        </w:tc>
        <w:tc>
          <w:tcPr>
            <w:tcW w:w="1126" w:type="dxa"/>
          </w:tcPr>
          <w:p>
            <w:pPr>
              <w:pStyle w:val="0"/>
              <w:jc w:val="center"/>
            </w:pPr>
            <w:r>
              <w:rPr>
                <w:sz w:val="20"/>
              </w:rPr>
              <w:t xml:space="preserve">736,4</w:t>
            </w:r>
          </w:p>
        </w:tc>
        <w:tc>
          <w:tcPr>
            <w:tcW w:w="1077" w:type="dxa"/>
          </w:tcPr>
          <w:p>
            <w:pPr>
              <w:pStyle w:val="0"/>
              <w:jc w:val="center"/>
            </w:pPr>
            <w:r>
              <w:rPr>
                <w:sz w:val="20"/>
              </w:rPr>
              <w:t xml:space="preserve">741,9</w:t>
            </w:r>
          </w:p>
        </w:tc>
        <w:tc>
          <w:tcPr>
            <w:tcW w:w="964" w:type="dxa"/>
          </w:tcPr>
          <w:p>
            <w:pPr>
              <w:pStyle w:val="0"/>
              <w:jc w:val="center"/>
            </w:pPr>
            <w:r>
              <w:rPr>
                <w:sz w:val="20"/>
              </w:rPr>
              <w:t xml:space="preserve">742,9 &lt;*&gt;</w:t>
            </w:r>
          </w:p>
        </w:tc>
        <w:tc>
          <w:tcPr>
            <w:tcW w:w="964" w:type="dxa"/>
          </w:tcPr>
          <w:p>
            <w:pPr>
              <w:pStyle w:val="0"/>
              <w:jc w:val="center"/>
            </w:pPr>
            <w:r>
              <w:rPr>
                <w:sz w:val="20"/>
              </w:rPr>
              <w:t xml:space="preserve">729,5</w:t>
            </w:r>
          </w:p>
        </w:tc>
        <w:tc>
          <w:tcPr>
            <w:tcW w:w="1053" w:type="dxa"/>
          </w:tcPr>
          <w:p>
            <w:pPr>
              <w:pStyle w:val="0"/>
              <w:jc w:val="center"/>
            </w:pPr>
            <w:r>
              <w:rPr>
                <w:sz w:val="20"/>
              </w:rPr>
              <w:t xml:space="preserve">730,1</w:t>
            </w:r>
          </w:p>
        </w:tc>
        <w:tc>
          <w:tcPr>
            <w:tcW w:w="1020" w:type="dxa"/>
          </w:tcPr>
          <w:p>
            <w:pPr>
              <w:pStyle w:val="0"/>
              <w:jc w:val="center"/>
            </w:pPr>
            <w:r>
              <w:rPr>
                <w:sz w:val="20"/>
              </w:rPr>
              <w:t xml:space="preserve">732,3</w:t>
            </w:r>
          </w:p>
        </w:tc>
        <w:tc>
          <w:tcPr>
            <w:tcW w:w="964" w:type="dxa"/>
          </w:tcPr>
          <w:p>
            <w:pPr>
              <w:pStyle w:val="0"/>
              <w:jc w:val="center"/>
            </w:pPr>
            <w:r>
              <w:rPr>
                <w:sz w:val="20"/>
              </w:rPr>
              <w:t xml:space="preserve">732,0</w:t>
            </w:r>
          </w:p>
        </w:tc>
        <w:tc>
          <w:tcPr>
            <w:tcW w:w="1020" w:type="dxa"/>
          </w:tcPr>
          <w:p>
            <w:pPr>
              <w:pStyle w:val="0"/>
              <w:jc w:val="center"/>
            </w:pPr>
            <w:r>
              <w:rPr>
                <w:sz w:val="20"/>
              </w:rPr>
              <w:t xml:space="preserve">733,0</w:t>
            </w:r>
          </w:p>
        </w:tc>
        <w:tc>
          <w:tcPr>
            <w:tcW w:w="1020" w:type="dxa"/>
          </w:tcPr>
          <w:p>
            <w:pPr>
              <w:pStyle w:val="0"/>
              <w:jc w:val="center"/>
            </w:pPr>
            <w:r>
              <w:rPr>
                <w:sz w:val="20"/>
              </w:rPr>
              <w:t xml:space="preserve">734,6</w:t>
            </w:r>
          </w:p>
        </w:tc>
      </w:tr>
      <w:tr>
        <w:tc>
          <w:tcPr>
            <w:tcW w:w="518" w:type="dxa"/>
          </w:tcPr>
          <w:p>
            <w:pPr>
              <w:pStyle w:val="0"/>
              <w:jc w:val="center"/>
            </w:pPr>
            <w:r>
              <w:rPr>
                <w:sz w:val="20"/>
              </w:rPr>
              <w:t xml:space="preserve">23</w:t>
            </w:r>
          </w:p>
        </w:tc>
        <w:tc>
          <w:tcPr>
            <w:tcW w:w="2716" w:type="dxa"/>
          </w:tcPr>
          <w:p>
            <w:pPr>
              <w:pStyle w:val="0"/>
            </w:pPr>
            <w:r>
              <w:rPr>
                <w:sz w:val="20"/>
              </w:rPr>
              <w:t xml:space="preserve">Уровень безработицы, % к рабочей силе</w:t>
            </w:r>
          </w:p>
        </w:tc>
        <w:tc>
          <w:tcPr>
            <w:tcW w:w="1058" w:type="dxa"/>
          </w:tcPr>
          <w:p>
            <w:pPr>
              <w:pStyle w:val="0"/>
              <w:jc w:val="center"/>
            </w:pPr>
            <w:r>
              <w:rPr>
                <w:sz w:val="20"/>
              </w:rPr>
              <w:t xml:space="preserve">3,57</w:t>
            </w:r>
          </w:p>
        </w:tc>
        <w:tc>
          <w:tcPr>
            <w:tcW w:w="1126" w:type="dxa"/>
          </w:tcPr>
          <w:p>
            <w:pPr>
              <w:pStyle w:val="0"/>
              <w:jc w:val="center"/>
            </w:pPr>
            <w:r>
              <w:rPr>
                <w:sz w:val="20"/>
              </w:rPr>
              <w:t xml:space="preserve">2,73</w:t>
            </w:r>
          </w:p>
        </w:tc>
        <w:tc>
          <w:tcPr>
            <w:tcW w:w="1077" w:type="dxa"/>
          </w:tcPr>
          <w:p>
            <w:pPr>
              <w:pStyle w:val="0"/>
              <w:jc w:val="center"/>
            </w:pPr>
            <w:r>
              <w:rPr>
                <w:sz w:val="20"/>
              </w:rPr>
              <w:t xml:space="preserve">2,11</w:t>
            </w:r>
          </w:p>
        </w:tc>
        <w:tc>
          <w:tcPr>
            <w:tcW w:w="964" w:type="dxa"/>
          </w:tcPr>
          <w:p>
            <w:pPr>
              <w:pStyle w:val="0"/>
              <w:jc w:val="center"/>
            </w:pPr>
            <w:r>
              <w:rPr>
                <w:sz w:val="20"/>
              </w:rPr>
              <w:t xml:space="preserve">1,76 &lt;*&gt;</w:t>
            </w:r>
          </w:p>
        </w:tc>
        <w:tc>
          <w:tcPr>
            <w:tcW w:w="964" w:type="dxa"/>
          </w:tcPr>
          <w:p>
            <w:pPr>
              <w:pStyle w:val="0"/>
              <w:jc w:val="center"/>
            </w:pPr>
            <w:r>
              <w:rPr>
                <w:sz w:val="20"/>
              </w:rPr>
              <w:t xml:space="preserve">2,06</w:t>
            </w:r>
          </w:p>
        </w:tc>
        <w:tc>
          <w:tcPr>
            <w:tcW w:w="1053" w:type="dxa"/>
          </w:tcPr>
          <w:p>
            <w:pPr>
              <w:pStyle w:val="0"/>
              <w:jc w:val="center"/>
            </w:pPr>
            <w:r>
              <w:rPr>
                <w:sz w:val="20"/>
              </w:rPr>
              <w:t xml:space="preserve">1,96</w:t>
            </w:r>
          </w:p>
        </w:tc>
        <w:tc>
          <w:tcPr>
            <w:tcW w:w="1020" w:type="dxa"/>
          </w:tcPr>
          <w:p>
            <w:pPr>
              <w:pStyle w:val="0"/>
              <w:jc w:val="center"/>
            </w:pPr>
            <w:r>
              <w:rPr>
                <w:sz w:val="20"/>
              </w:rPr>
              <w:t xml:space="preserve">1,80</w:t>
            </w:r>
          </w:p>
        </w:tc>
        <w:tc>
          <w:tcPr>
            <w:tcW w:w="964" w:type="dxa"/>
          </w:tcPr>
          <w:p>
            <w:pPr>
              <w:pStyle w:val="0"/>
              <w:jc w:val="center"/>
            </w:pPr>
            <w:r>
              <w:rPr>
                <w:sz w:val="20"/>
              </w:rPr>
              <w:t xml:space="preserve">1,78</w:t>
            </w:r>
          </w:p>
        </w:tc>
        <w:tc>
          <w:tcPr>
            <w:tcW w:w="1020" w:type="dxa"/>
          </w:tcPr>
          <w:p>
            <w:pPr>
              <w:pStyle w:val="0"/>
              <w:jc w:val="center"/>
            </w:pPr>
            <w:r>
              <w:rPr>
                <w:sz w:val="20"/>
              </w:rPr>
              <w:t xml:space="preserve">1,77</w:t>
            </w:r>
          </w:p>
        </w:tc>
        <w:tc>
          <w:tcPr>
            <w:tcW w:w="1020" w:type="dxa"/>
          </w:tcPr>
          <w:p>
            <w:pPr>
              <w:pStyle w:val="0"/>
              <w:jc w:val="center"/>
            </w:pPr>
            <w:r>
              <w:rPr>
                <w:sz w:val="20"/>
              </w:rPr>
              <w:t xml:space="preserve">1,75</w:t>
            </w:r>
          </w:p>
        </w:tc>
      </w:tr>
    </w:tbl>
    <w:p>
      <w:pPr>
        <w:sectPr>
          <w:headerReference w:type="default" r:id="rId11"/>
          <w:headerReference w:type="first" r:id="rId11"/>
          <w:footerReference w:type="default" r:id="rId12"/>
          <w:footerReference w:type="first" r:id="rId12"/>
          <w:pgSz w:w="16838" w:h="11906" w:orient="landscape"/>
          <w:pgMar w:top="1133" w:right="1440" w:bottom="566" w:left="1440" w:header="0" w:footer="0" w:gutter="0"/>
          <w:titlePg/>
        </w:sectPr>
      </w:pPr>
    </w:p>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Оценка.</w:t>
      </w:r>
    </w:p>
    <w:p>
      <w:pPr>
        <w:pStyle w:val="0"/>
        <w:spacing w:before="200" w:lineRule="auto"/>
        <w:ind w:firstLine="540"/>
        <w:jc w:val="both"/>
      </w:pPr>
      <w:r>
        <w:rPr>
          <w:sz w:val="20"/>
        </w:rPr>
        <w:t xml:space="preserve">Источник: </w:t>
      </w:r>
      <w:hyperlink w:history="0" r:id="rId13" w:tooltip="Распоряжение Правительства Тульской области от 22.09.2025 N 412-р (ред. от 11.03.2026) &quot;Об утверждении прогноза социально-экономического развития Тульской области на долгосрочный период до 2042 года&quot; {КонсультантПлюс}">
        <w:r>
          <w:rPr>
            <w:sz w:val="20"/>
            <w:color w:val="0000ff"/>
          </w:rPr>
          <w:t xml:space="preserve">распоряжение</w:t>
        </w:r>
      </w:hyperlink>
      <w:r>
        <w:rPr>
          <w:sz w:val="20"/>
        </w:rPr>
        <w:t xml:space="preserve"> Правительства Тульской области от 22.09.2025 N 412-р "Об утверждении прогноза социально-экономического развития Тульской области на долгосрочный период до 2042 года".</w:t>
      </w:r>
    </w:p>
    <w:p>
      <w:pPr>
        <w:pStyle w:val="0"/>
      </w:pPr>
      <w:r>
        <w:rPr>
          <w:sz w:val="20"/>
        </w:rPr>
      </w:r>
    </w:p>
    <w:p>
      <w:pPr>
        <w:pStyle w:val="0"/>
        <w:outlineLvl w:val="4"/>
        <w:jc w:val="center"/>
      </w:pPr>
      <w:r>
        <w:rPr>
          <w:sz w:val="20"/>
        </w:rPr>
        <w:t xml:space="preserve">Прогноз социально-экономического развития</w:t>
      </w:r>
    </w:p>
    <w:p>
      <w:pPr>
        <w:pStyle w:val="0"/>
        <w:jc w:val="center"/>
      </w:pPr>
      <w:r>
        <w:rPr>
          <w:sz w:val="20"/>
        </w:rPr>
        <w:t xml:space="preserve">Тульской области до 2036 года</w:t>
      </w:r>
    </w:p>
    <w:p>
      <w:pPr>
        <w:pStyle w:val="0"/>
        <w:jc w:val="center"/>
      </w:pPr>
      <w:r>
        <w:rPr>
          <w:sz w:val="20"/>
        </w:rPr>
        <w:t xml:space="preserve">(базовый вариант)</w:t>
      </w:r>
    </w:p>
    <w:p>
      <w:pPr>
        <w:pStyle w:val="0"/>
      </w:pPr>
      <w:r>
        <w:rPr>
          <w:sz w:val="20"/>
        </w:rPr>
      </w:r>
    </w:p>
    <w:p>
      <w:pPr>
        <w:pStyle w:val="0"/>
        <w:outlineLvl w:val="3"/>
        <w:jc w:val="right"/>
      </w:pPr>
      <w:r>
        <w:rPr>
          <w:sz w:val="20"/>
        </w:rPr>
        <w:t xml:space="preserve">Таблица 3</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8"/>
        <w:gridCol w:w="2716"/>
        <w:gridCol w:w="1058"/>
        <w:gridCol w:w="1126"/>
        <w:gridCol w:w="1077"/>
        <w:gridCol w:w="964"/>
        <w:gridCol w:w="964"/>
        <w:gridCol w:w="1053"/>
        <w:gridCol w:w="1020"/>
        <w:gridCol w:w="964"/>
        <w:gridCol w:w="1020"/>
        <w:gridCol w:w="1020"/>
      </w:tblGrid>
      <w:tr>
        <w:tc>
          <w:tcPr>
            <w:gridSpan w:val="2"/>
            <w:tcW w:w="3234" w:type="dxa"/>
            <w:vMerge w:val="restart"/>
          </w:tcPr>
          <w:p>
            <w:pPr>
              <w:pStyle w:val="0"/>
              <w:jc w:val="center"/>
            </w:pPr>
            <w:r>
              <w:rPr>
                <w:sz w:val="20"/>
              </w:rPr>
              <w:t xml:space="preserve">Показатели</w:t>
            </w:r>
          </w:p>
        </w:tc>
        <w:tc>
          <w:tcPr>
            <w:gridSpan w:val="4"/>
            <w:tcW w:w="4225" w:type="dxa"/>
          </w:tcPr>
          <w:p>
            <w:pPr>
              <w:pStyle w:val="0"/>
              <w:jc w:val="center"/>
            </w:pPr>
            <w:r>
              <w:rPr>
                <w:sz w:val="20"/>
              </w:rPr>
              <w:t xml:space="preserve">Отчет</w:t>
            </w:r>
          </w:p>
        </w:tc>
        <w:tc>
          <w:tcPr>
            <w:gridSpan w:val="6"/>
            <w:tcW w:w="6041" w:type="dxa"/>
          </w:tcPr>
          <w:p>
            <w:pPr>
              <w:pStyle w:val="0"/>
              <w:jc w:val="center"/>
            </w:pPr>
            <w:r>
              <w:rPr>
                <w:sz w:val="20"/>
              </w:rPr>
              <w:t xml:space="preserve">Прогноз</w:t>
            </w:r>
          </w:p>
        </w:tc>
      </w:tr>
      <w:tr>
        <w:tc>
          <w:tcPr>
            <w:gridSpan w:val="2"/>
            <w:vMerge w:val="continue"/>
          </w:tcPr>
          <w:p/>
        </w:tc>
        <w:tc>
          <w:tcPr>
            <w:tcW w:w="1058" w:type="dxa"/>
          </w:tcPr>
          <w:p>
            <w:pPr>
              <w:pStyle w:val="0"/>
              <w:jc w:val="center"/>
            </w:pPr>
            <w:r>
              <w:rPr>
                <w:sz w:val="20"/>
              </w:rPr>
              <w:t xml:space="preserve">2022</w:t>
            </w:r>
          </w:p>
        </w:tc>
        <w:tc>
          <w:tcPr>
            <w:tcW w:w="1126" w:type="dxa"/>
          </w:tcPr>
          <w:p>
            <w:pPr>
              <w:pStyle w:val="0"/>
              <w:jc w:val="center"/>
            </w:pPr>
            <w:r>
              <w:rPr>
                <w:sz w:val="20"/>
              </w:rPr>
              <w:t xml:space="preserve">2023</w:t>
            </w:r>
          </w:p>
        </w:tc>
        <w:tc>
          <w:tcPr>
            <w:tcW w:w="1077" w:type="dxa"/>
          </w:tcPr>
          <w:p>
            <w:pPr>
              <w:pStyle w:val="0"/>
              <w:jc w:val="center"/>
            </w:pPr>
            <w:r>
              <w:rPr>
                <w:sz w:val="20"/>
              </w:rPr>
              <w:t xml:space="preserve">2024</w:t>
            </w:r>
          </w:p>
        </w:tc>
        <w:tc>
          <w:tcPr>
            <w:tcW w:w="964" w:type="dxa"/>
          </w:tcPr>
          <w:p>
            <w:pPr>
              <w:pStyle w:val="0"/>
              <w:jc w:val="center"/>
            </w:pPr>
            <w:r>
              <w:rPr>
                <w:sz w:val="20"/>
              </w:rPr>
              <w:t xml:space="preserve">2025</w:t>
            </w:r>
          </w:p>
        </w:tc>
        <w:tc>
          <w:tcPr>
            <w:tcW w:w="964" w:type="dxa"/>
          </w:tcPr>
          <w:p>
            <w:pPr>
              <w:pStyle w:val="0"/>
              <w:jc w:val="center"/>
            </w:pPr>
            <w:r>
              <w:rPr>
                <w:sz w:val="20"/>
              </w:rPr>
              <w:t xml:space="preserve">2026</w:t>
            </w:r>
          </w:p>
        </w:tc>
        <w:tc>
          <w:tcPr>
            <w:tcW w:w="1053" w:type="dxa"/>
          </w:tcPr>
          <w:p>
            <w:pPr>
              <w:pStyle w:val="0"/>
              <w:jc w:val="center"/>
            </w:pPr>
            <w:r>
              <w:rPr>
                <w:sz w:val="20"/>
              </w:rPr>
              <w:t xml:space="preserve">2027</w:t>
            </w:r>
          </w:p>
        </w:tc>
        <w:tc>
          <w:tcPr>
            <w:tcW w:w="1020" w:type="dxa"/>
          </w:tcPr>
          <w:p>
            <w:pPr>
              <w:pStyle w:val="0"/>
              <w:jc w:val="center"/>
            </w:pPr>
            <w:r>
              <w:rPr>
                <w:sz w:val="20"/>
              </w:rPr>
              <w:t xml:space="preserve">2028</w:t>
            </w:r>
          </w:p>
        </w:tc>
        <w:tc>
          <w:tcPr>
            <w:tcW w:w="964" w:type="dxa"/>
          </w:tcPr>
          <w:p>
            <w:pPr>
              <w:pStyle w:val="0"/>
              <w:jc w:val="center"/>
            </w:pPr>
            <w:r>
              <w:rPr>
                <w:sz w:val="20"/>
              </w:rPr>
              <w:t xml:space="preserve">2029</w:t>
            </w:r>
          </w:p>
        </w:tc>
        <w:tc>
          <w:tcPr>
            <w:tcW w:w="1020" w:type="dxa"/>
          </w:tcPr>
          <w:p>
            <w:pPr>
              <w:pStyle w:val="0"/>
              <w:jc w:val="center"/>
            </w:pPr>
            <w:r>
              <w:rPr>
                <w:sz w:val="20"/>
              </w:rPr>
              <w:t xml:space="preserve">2030</w:t>
            </w:r>
          </w:p>
        </w:tc>
        <w:tc>
          <w:tcPr>
            <w:tcW w:w="1020" w:type="dxa"/>
          </w:tcPr>
          <w:p>
            <w:pPr>
              <w:pStyle w:val="0"/>
              <w:jc w:val="center"/>
            </w:pPr>
            <w:r>
              <w:rPr>
                <w:sz w:val="20"/>
              </w:rPr>
              <w:t xml:space="preserve">2036</w:t>
            </w:r>
          </w:p>
        </w:tc>
      </w:tr>
      <w:tr>
        <w:tc>
          <w:tcPr>
            <w:gridSpan w:val="12"/>
            <w:tcW w:w="13500" w:type="dxa"/>
          </w:tcPr>
          <w:p>
            <w:pPr>
              <w:pStyle w:val="0"/>
              <w:outlineLvl w:val="4"/>
            </w:pPr>
            <w:r>
              <w:rPr>
                <w:sz w:val="20"/>
              </w:rPr>
              <w:t xml:space="preserve">Население</w:t>
            </w:r>
          </w:p>
        </w:tc>
      </w:tr>
      <w:tr>
        <w:tc>
          <w:tcPr>
            <w:tcW w:w="518" w:type="dxa"/>
          </w:tcPr>
          <w:p>
            <w:pPr>
              <w:pStyle w:val="0"/>
              <w:jc w:val="center"/>
            </w:pPr>
            <w:r>
              <w:rPr>
                <w:sz w:val="20"/>
              </w:rPr>
              <w:t xml:space="preserve">1</w:t>
            </w:r>
          </w:p>
        </w:tc>
        <w:tc>
          <w:tcPr>
            <w:tcW w:w="2716" w:type="dxa"/>
          </w:tcPr>
          <w:p>
            <w:pPr>
              <w:pStyle w:val="0"/>
            </w:pPr>
            <w:r>
              <w:rPr>
                <w:sz w:val="20"/>
              </w:rPr>
              <w:t xml:space="preserve">Численность населения (в среднегодовом исчислении), тыс. человек</w:t>
            </w:r>
          </w:p>
        </w:tc>
        <w:tc>
          <w:tcPr>
            <w:tcW w:w="1058" w:type="dxa"/>
          </w:tcPr>
          <w:p>
            <w:pPr>
              <w:pStyle w:val="0"/>
              <w:jc w:val="center"/>
            </w:pPr>
            <w:r>
              <w:rPr>
                <w:sz w:val="20"/>
              </w:rPr>
              <w:t xml:space="preserve">1 489,1</w:t>
            </w:r>
          </w:p>
        </w:tc>
        <w:tc>
          <w:tcPr>
            <w:tcW w:w="1126" w:type="dxa"/>
          </w:tcPr>
          <w:p>
            <w:pPr>
              <w:pStyle w:val="0"/>
              <w:jc w:val="center"/>
            </w:pPr>
            <w:r>
              <w:rPr>
                <w:sz w:val="20"/>
              </w:rPr>
              <w:t xml:space="preserve">1 476,3</w:t>
            </w:r>
          </w:p>
        </w:tc>
        <w:tc>
          <w:tcPr>
            <w:tcW w:w="1077" w:type="dxa"/>
          </w:tcPr>
          <w:p>
            <w:pPr>
              <w:pStyle w:val="0"/>
              <w:jc w:val="center"/>
            </w:pPr>
            <w:r>
              <w:rPr>
                <w:sz w:val="20"/>
              </w:rPr>
              <w:t xml:space="preserve">1 464,0</w:t>
            </w:r>
          </w:p>
        </w:tc>
        <w:tc>
          <w:tcPr>
            <w:tcW w:w="964" w:type="dxa"/>
          </w:tcPr>
          <w:p>
            <w:pPr>
              <w:pStyle w:val="0"/>
              <w:jc w:val="center"/>
            </w:pPr>
            <w:r>
              <w:rPr>
                <w:sz w:val="20"/>
              </w:rPr>
              <w:t xml:space="preserve">1 449,4 &lt;*&gt;</w:t>
            </w:r>
          </w:p>
        </w:tc>
        <w:tc>
          <w:tcPr>
            <w:tcW w:w="964" w:type="dxa"/>
          </w:tcPr>
          <w:p>
            <w:pPr>
              <w:pStyle w:val="0"/>
              <w:jc w:val="center"/>
            </w:pPr>
            <w:r>
              <w:rPr>
                <w:sz w:val="20"/>
              </w:rPr>
              <w:t xml:space="preserve">1 434,7</w:t>
            </w:r>
          </w:p>
        </w:tc>
        <w:tc>
          <w:tcPr>
            <w:tcW w:w="1053" w:type="dxa"/>
          </w:tcPr>
          <w:p>
            <w:pPr>
              <w:pStyle w:val="0"/>
              <w:jc w:val="center"/>
            </w:pPr>
            <w:r>
              <w:rPr>
                <w:sz w:val="20"/>
              </w:rPr>
              <w:t xml:space="preserve">1 420,5</w:t>
            </w:r>
          </w:p>
        </w:tc>
        <w:tc>
          <w:tcPr>
            <w:tcW w:w="1020" w:type="dxa"/>
          </w:tcPr>
          <w:p>
            <w:pPr>
              <w:pStyle w:val="0"/>
              <w:jc w:val="center"/>
            </w:pPr>
            <w:r>
              <w:rPr>
                <w:sz w:val="20"/>
              </w:rPr>
              <w:t xml:space="preserve">1 406,9</w:t>
            </w:r>
          </w:p>
        </w:tc>
        <w:tc>
          <w:tcPr>
            <w:tcW w:w="964" w:type="dxa"/>
          </w:tcPr>
          <w:p>
            <w:pPr>
              <w:pStyle w:val="0"/>
              <w:jc w:val="center"/>
            </w:pPr>
            <w:r>
              <w:rPr>
                <w:sz w:val="20"/>
              </w:rPr>
              <w:t xml:space="preserve">1 393,8</w:t>
            </w:r>
          </w:p>
        </w:tc>
        <w:tc>
          <w:tcPr>
            <w:tcW w:w="1020" w:type="dxa"/>
          </w:tcPr>
          <w:p>
            <w:pPr>
              <w:pStyle w:val="0"/>
              <w:jc w:val="center"/>
            </w:pPr>
            <w:r>
              <w:rPr>
                <w:sz w:val="20"/>
              </w:rPr>
              <w:t xml:space="preserve">1 381,3</w:t>
            </w:r>
          </w:p>
        </w:tc>
        <w:tc>
          <w:tcPr>
            <w:tcW w:w="1020" w:type="dxa"/>
          </w:tcPr>
          <w:p>
            <w:pPr>
              <w:pStyle w:val="0"/>
              <w:jc w:val="center"/>
            </w:pPr>
            <w:r>
              <w:rPr>
                <w:sz w:val="20"/>
              </w:rPr>
              <w:t xml:space="preserve">1 310,0</w:t>
            </w:r>
          </w:p>
        </w:tc>
      </w:tr>
      <w:tr>
        <w:tc>
          <w:tcPr>
            <w:gridSpan w:val="12"/>
            <w:tcW w:w="13500" w:type="dxa"/>
          </w:tcPr>
          <w:p>
            <w:pPr>
              <w:pStyle w:val="0"/>
              <w:outlineLvl w:val="4"/>
            </w:pPr>
            <w:r>
              <w:rPr>
                <w:sz w:val="20"/>
              </w:rPr>
              <w:t xml:space="preserve">Валовой региональный продукт</w:t>
            </w:r>
          </w:p>
        </w:tc>
      </w:tr>
      <w:tr>
        <w:tc>
          <w:tcPr>
            <w:tcW w:w="518" w:type="dxa"/>
          </w:tcPr>
          <w:p>
            <w:pPr>
              <w:pStyle w:val="0"/>
              <w:jc w:val="center"/>
            </w:pPr>
            <w:r>
              <w:rPr>
                <w:sz w:val="20"/>
              </w:rPr>
              <w:t xml:space="preserve">2</w:t>
            </w:r>
          </w:p>
        </w:tc>
        <w:tc>
          <w:tcPr>
            <w:tcW w:w="2716" w:type="dxa"/>
          </w:tcPr>
          <w:p>
            <w:pPr>
              <w:pStyle w:val="0"/>
            </w:pPr>
            <w:r>
              <w:rPr>
                <w:sz w:val="20"/>
              </w:rPr>
              <w:t xml:space="preserve">Валовой региональный продукт, млрд. рублей</w:t>
            </w:r>
          </w:p>
        </w:tc>
        <w:tc>
          <w:tcPr>
            <w:tcW w:w="1058" w:type="dxa"/>
          </w:tcPr>
          <w:p>
            <w:pPr>
              <w:pStyle w:val="0"/>
              <w:jc w:val="center"/>
            </w:pPr>
            <w:r>
              <w:rPr>
                <w:sz w:val="20"/>
              </w:rPr>
              <w:t xml:space="preserve">1 019,6</w:t>
            </w:r>
          </w:p>
        </w:tc>
        <w:tc>
          <w:tcPr>
            <w:tcW w:w="1126" w:type="dxa"/>
          </w:tcPr>
          <w:p>
            <w:pPr>
              <w:pStyle w:val="0"/>
              <w:jc w:val="center"/>
            </w:pPr>
            <w:r>
              <w:rPr>
                <w:sz w:val="20"/>
              </w:rPr>
              <w:t xml:space="preserve">1 165,8</w:t>
            </w:r>
          </w:p>
        </w:tc>
        <w:tc>
          <w:tcPr>
            <w:tcW w:w="1077" w:type="dxa"/>
          </w:tcPr>
          <w:p>
            <w:pPr>
              <w:pStyle w:val="0"/>
              <w:jc w:val="center"/>
            </w:pPr>
            <w:r>
              <w:rPr>
                <w:sz w:val="20"/>
              </w:rPr>
              <w:t xml:space="preserve">1 304,9</w:t>
            </w:r>
          </w:p>
        </w:tc>
        <w:tc>
          <w:tcPr>
            <w:tcW w:w="964" w:type="dxa"/>
          </w:tcPr>
          <w:p>
            <w:pPr>
              <w:pStyle w:val="0"/>
              <w:jc w:val="center"/>
            </w:pPr>
            <w:r>
              <w:rPr>
                <w:sz w:val="20"/>
              </w:rPr>
              <w:t xml:space="preserve">1 447,6 &lt;*&gt;</w:t>
            </w:r>
          </w:p>
        </w:tc>
        <w:tc>
          <w:tcPr>
            <w:tcW w:w="964" w:type="dxa"/>
          </w:tcPr>
          <w:p>
            <w:pPr>
              <w:pStyle w:val="0"/>
              <w:jc w:val="center"/>
            </w:pPr>
            <w:r>
              <w:rPr>
                <w:sz w:val="20"/>
              </w:rPr>
              <w:t xml:space="preserve">1 545,1</w:t>
            </w:r>
          </w:p>
        </w:tc>
        <w:tc>
          <w:tcPr>
            <w:tcW w:w="1053" w:type="dxa"/>
          </w:tcPr>
          <w:p>
            <w:pPr>
              <w:pStyle w:val="0"/>
              <w:jc w:val="center"/>
            </w:pPr>
            <w:r>
              <w:rPr>
                <w:sz w:val="20"/>
              </w:rPr>
              <w:t xml:space="preserve">1 651,4</w:t>
            </w:r>
          </w:p>
        </w:tc>
        <w:tc>
          <w:tcPr>
            <w:tcW w:w="1020" w:type="dxa"/>
          </w:tcPr>
          <w:p>
            <w:pPr>
              <w:pStyle w:val="0"/>
              <w:jc w:val="center"/>
            </w:pPr>
            <w:r>
              <w:rPr>
                <w:sz w:val="20"/>
              </w:rPr>
              <w:t xml:space="preserve">1 757,0</w:t>
            </w:r>
          </w:p>
        </w:tc>
        <w:tc>
          <w:tcPr>
            <w:tcW w:w="964" w:type="dxa"/>
          </w:tcPr>
          <w:p>
            <w:pPr>
              <w:pStyle w:val="0"/>
              <w:jc w:val="center"/>
            </w:pPr>
            <w:r>
              <w:rPr>
                <w:sz w:val="20"/>
              </w:rPr>
              <w:t xml:space="preserve">1 876,1</w:t>
            </w:r>
          </w:p>
        </w:tc>
        <w:tc>
          <w:tcPr>
            <w:tcW w:w="1020" w:type="dxa"/>
          </w:tcPr>
          <w:p>
            <w:pPr>
              <w:pStyle w:val="0"/>
              <w:jc w:val="center"/>
            </w:pPr>
            <w:r>
              <w:rPr>
                <w:sz w:val="20"/>
              </w:rPr>
              <w:t xml:space="preserve">2 008,5</w:t>
            </w:r>
          </w:p>
        </w:tc>
        <w:tc>
          <w:tcPr>
            <w:tcW w:w="1020" w:type="dxa"/>
          </w:tcPr>
          <w:p>
            <w:pPr>
              <w:pStyle w:val="0"/>
              <w:jc w:val="center"/>
            </w:pPr>
            <w:r>
              <w:rPr>
                <w:sz w:val="20"/>
              </w:rPr>
              <w:t xml:space="preserve">3 070,0</w:t>
            </w:r>
          </w:p>
        </w:tc>
      </w:tr>
      <w:tr>
        <w:tc>
          <w:tcPr>
            <w:tcW w:w="518" w:type="dxa"/>
          </w:tcPr>
          <w:p>
            <w:pPr>
              <w:pStyle w:val="0"/>
              <w:jc w:val="center"/>
            </w:pPr>
            <w:r>
              <w:rPr>
                <w:sz w:val="20"/>
              </w:rPr>
              <w:t xml:space="preserve">3</w:t>
            </w:r>
          </w:p>
        </w:tc>
        <w:tc>
          <w:tcPr>
            <w:tcW w:w="2716" w:type="dxa"/>
          </w:tcPr>
          <w:p>
            <w:pPr>
              <w:pStyle w:val="0"/>
            </w:pPr>
            <w:r>
              <w:rPr>
                <w:sz w:val="20"/>
              </w:rPr>
              <w:t xml:space="preserve">Темп роста объема валового регионального продукта, % к предыдущему году в сопоставимых ценах</w:t>
            </w:r>
          </w:p>
        </w:tc>
        <w:tc>
          <w:tcPr>
            <w:tcW w:w="1058" w:type="dxa"/>
          </w:tcPr>
          <w:p>
            <w:pPr>
              <w:pStyle w:val="0"/>
              <w:jc w:val="center"/>
            </w:pPr>
            <w:r>
              <w:rPr>
                <w:sz w:val="20"/>
              </w:rPr>
              <w:t xml:space="preserve">103,8</w:t>
            </w:r>
          </w:p>
        </w:tc>
        <w:tc>
          <w:tcPr>
            <w:tcW w:w="1126" w:type="dxa"/>
          </w:tcPr>
          <w:p>
            <w:pPr>
              <w:pStyle w:val="0"/>
              <w:jc w:val="center"/>
            </w:pPr>
            <w:r>
              <w:rPr>
                <w:sz w:val="20"/>
              </w:rPr>
              <w:t xml:space="preserve">109,8</w:t>
            </w:r>
          </w:p>
        </w:tc>
        <w:tc>
          <w:tcPr>
            <w:tcW w:w="1077" w:type="dxa"/>
          </w:tcPr>
          <w:p>
            <w:pPr>
              <w:pStyle w:val="0"/>
              <w:jc w:val="center"/>
            </w:pPr>
            <w:r>
              <w:rPr>
                <w:sz w:val="20"/>
              </w:rPr>
              <w:t xml:space="preserve">104,5</w:t>
            </w:r>
          </w:p>
        </w:tc>
        <w:tc>
          <w:tcPr>
            <w:tcW w:w="964" w:type="dxa"/>
          </w:tcPr>
          <w:p>
            <w:pPr>
              <w:pStyle w:val="0"/>
              <w:jc w:val="center"/>
            </w:pPr>
            <w:r>
              <w:rPr>
                <w:sz w:val="20"/>
              </w:rPr>
              <w:t xml:space="preserve">103,1 &lt;*&gt;</w:t>
            </w:r>
          </w:p>
        </w:tc>
        <w:tc>
          <w:tcPr>
            <w:tcW w:w="964" w:type="dxa"/>
          </w:tcPr>
          <w:p>
            <w:pPr>
              <w:pStyle w:val="0"/>
              <w:jc w:val="center"/>
            </w:pPr>
            <w:r>
              <w:rPr>
                <w:sz w:val="20"/>
              </w:rPr>
              <w:t xml:space="preserve">102,0</w:t>
            </w:r>
          </w:p>
        </w:tc>
        <w:tc>
          <w:tcPr>
            <w:tcW w:w="1053" w:type="dxa"/>
          </w:tcPr>
          <w:p>
            <w:pPr>
              <w:pStyle w:val="0"/>
              <w:jc w:val="center"/>
            </w:pPr>
            <w:r>
              <w:rPr>
                <w:sz w:val="20"/>
              </w:rPr>
              <w:t xml:space="preserve">102,5</w:t>
            </w:r>
          </w:p>
        </w:tc>
        <w:tc>
          <w:tcPr>
            <w:tcW w:w="1020" w:type="dxa"/>
          </w:tcPr>
          <w:p>
            <w:pPr>
              <w:pStyle w:val="0"/>
              <w:jc w:val="center"/>
            </w:pPr>
            <w:r>
              <w:rPr>
                <w:sz w:val="20"/>
              </w:rPr>
              <w:t xml:space="preserve">102,5</w:t>
            </w:r>
          </w:p>
        </w:tc>
        <w:tc>
          <w:tcPr>
            <w:tcW w:w="964" w:type="dxa"/>
          </w:tcPr>
          <w:p>
            <w:pPr>
              <w:pStyle w:val="0"/>
              <w:jc w:val="center"/>
            </w:pPr>
            <w:r>
              <w:rPr>
                <w:sz w:val="20"/>
              </w:rPr>
              <w:t xml:space="preserve">102,7</w:t>
            </w:r>
          </w:p>
        </w:tc>
        <w:tc>
          <w:tcPr>
            <w:tcW w:w="1020" w:type="dxa"/>
          </w:tcPr>
          <w:p>
            <w:pPr>
              <w:pStyle w:val="0"/>
              <w:jc w:val="center"/>
            </w:pPr>
            <w:r>
              <w:rPr>
                <w:sz w:val="20"/>
              </w:rPr>
              <w:t xml:space="preserve">103,0</w:t>
            </w:r>
          </w:p>
        </w:tc>
        <w:tc>
          <w:tcPr>
            <w:tcW w:w="1020" w:type="dxa"/>
          </w:tcPr>
          <w:p>
            <w:pPr>
              <w:pStyle w:val="0"/>
              <w:jc w:val="center"/>
            </w:pPr>
            <w:r>
              <w:rPr>
                <w:sz w:val="20"/>
              </w:rPr>
              <w:t xml:space="preserve">103,5</w:t>
            </w:r>
          </w:p>
        </w:tc>
      </w:tr>
      <w:tr>
        <w:tc>
          <w:tcPr>
            <w:gridSpan w:val="12"/>
            <w:tcW w:w="13500" w:type="dxa"/>
          </w:tcPr>
          <w:p>
            <w:pPr>
              <w:pStyle w:val="0"/>
              <w:outlineLvl w:val="4"/>
            </w:pPr>
            <w:r>
              <w:rPr>
                <w:sz w:val="20"/>
              </w:rPr>
              <w:t xml:space="preserve">Промышленное производство</w:t>
            </w:r>
          </w:p>
        </w:tc>
      </w:tr>
      <w:tr>
        <w:tc>
          <w:tcPr>
            <w:tcW w:w="518" w:type="dxa"/>
          </w:tcPr>
          <w:p>
            <w:pPr>
              <w:pStyle w:val="0"/>
              <w:jc w:val="center"/>
            </w:pPr>
            <w:r>
              <w:rPr>
                <w:sz w:val="20"/>
              </w:rPr>
              <w:t xml:space="preserve">4</w:t>
            </w:r>
          </w:p>
        </w:tc>
        <w:tc>
          <w:tcPr>
            <w:tcW w:w="2716" w:type="dxa"/>
          </w:tcPr>
          <w:p>
            <w:pPr>
              <w:pStyle w:val="0"/>
            </w:pPr>
            <w:r>
              <w:rPr>
                <w:sz w:val="20"/>
              </w:rPr>
              <w:t xml:space="preserve">Объем отгруженной продукции (работ, услуг), млрд. рублей</w:t>
            </w:r>
          </w:p>
        </w:tc>
        <w:tc>
          <w:tcPr>
            <w:tcW w:w="1058" w:type="dxa"/>
          </w:tcPr>
          <w:p>
            <w:pPr>
              <w:pStyle w:val="0"/>
              <w:jc w:val="center"/>
            </w:pPr>
            <w:r>
              <w:rPr>
                <w:sz w:val="20"/>
              </w:rPr>
              <w:t xml:space="preserve">1 302,8</w:t>
            </w:r>
          </w:p>
        </w:tc>
        <w:tc>
          <w:tcPr>
            <w:tcW w:w="1126" w:type="dxa"/>
          </w:tcPr>
          <w:p>
            <w:pPr>
              <w:pStyle w:val="0"/>
              <w:jc w:val="center"/>
            </w:pPr>
            <w:r>
              <w:rPr>
                <w:sz w:val="20"/>
              </w:rPr>
              <w:t xml:space="preserve">1 552,7</w:t>
            </w:r>
          </w:p>
        </w:tc>
        <w:tc>
          <w:tcPr>
            <w:tcW w:w="1077" w:type="dxa"/>
          </w:tcPr>
          <w:p>
            <w:pPr>
              <w:pStyle w:val="0"/>
              <w:jc w:val="center"/>
            </w:pPr>
            <w:r>
              <w:rPr>
                <w:sz w:val="20"/>
              </w:rPr>
              <w:t xml:space="preserve">1 906,1</w:t>
            </w:r>
          </w:p>
        </w:tc>
        <w:tc>
          <w:tcPr>
            <w:tcW w:w="964" w:type="dxa"/>
          </w:tcPr>
          <w:p>
            <w:pPr>
              <w:pStyle w:val="0"/>
              <w:jc w:val="center"/>
            </w:pPr>
            <w:r>
              <w:rPr>
                <w:sz w:val="20"/>
              </w:rPr>
              <w:t xml:space="preserve">2 248,9</w:t>
            </w:r>
          </w:p>
        </w:tc>
        <w:tc>
          <w:tcPr>
            <w:tcW w:w="964" w:type="dxa"/>
          </w:tcPr>
          <w:p>
            <w:pPr>
              <w:pStyle w:val="0"/>
              <w:jc w:val="center"/>
            </w:pPr>
            <w:r>
              <w:rPr>
                <w:sz w:val="20"/>
              </w:rPr>
              <w:t xml:space="preserve">2 309,3</w:t>
            </w:r>
          </w:p>
        </w:tc>
        <w:tc>
          <w:tcPr>
            <w:tcW w:w="1053" w:type="dxa"/>
          </w:tcPr>
          <w:p>
            <w:pPr>
              <w:pStyle w:val="0"/>
              <w:jc w:val="center"/>
            </w:pPr>
            <w:r>
              <w:rPr>
                <w:sz w:val="20"/>
              </w:rPr>
              <w:t xml:space="preserve">2 447,8</w:t>
            </w:r>
          </w:p>
        </w:tc>
        <w:tc>
          <w:tcPr>
            <w:tcW w:w="1020" w:type="dxa"/>
          </w:tcPr>
          <w:p>
            <w:pPr>
              <w:pStyle w:val="0"/>
              <w:jc w:val="center"/>
            </w:pPr>
            <w:r>
              <w:rPr>
                <w:sz w:val="20"/>
              </w:rPr>
              <w:t xml:space="preserve">2 606,1</w:t>
            </w:r>
          </w:p>
        </w:tc>
        <w:tc>
          <w:tcPr>
            <w:tcW w:w="964" w:type="dxa"/>
          </w:tcPr>
          <w:p>
            <w:pPr>
              <w:pStyle w:val="0"/>
              <w:jc w:val="center"/>
            </w:pPr>
            <w:r>
              <w:rPr>
                <w:sz w:val="20"/>
              </w:rPr>
              <w:t xml:space="preserve">2 762,1</w:t>
            </w:r>
          </w:p>
        </w:tc>
        <w:tc>
          <w:tcPr>
            <w:tcW w:w="1020" w:type="dxa"/>
          </w:tcPr>
          <w:p>
            <w:pPr>
              <w:pStyle w:val="0"/>
              <w:jc w:val="center"/>
            </w:pPr>
            <w:r>
              <w:rPr>
                <w:sz w:val="20"/>
              </w:rPr>
              <w:t xml:space="preserve">2 923,2</w:t>
            </w:r>
          </w:p>
        </w:tc>
        <w:tc>
          <w:tcPr>
            <w:tcW w:w="1020" w:type="dxa"/>
          </w:tcPr>
          <w:p>
            <w:pPr>
              <w:pStyle w:val="0"/>
              <w:jc w:val="center"/>
            </w:pPr>
            <w:r>
              <w:rPr>
                <w:sz w:val="20"/>
              </w:rPr>
              <w:t xml:space="preserve">4 086,4</w:t>
            </w:r>
          </w:p>
        </w:tc>
      </w:tr>
      <w:tr>
        <w:tc>
          <w:tcPr>
            <w:tcW w:w="518" w:type="dxa"/>
          </w:tcPr>
          <w:p>
            <w:pPr>
              <w:pStyle w:val="0"/>
              <w:jc w:val="center"/>
            </w:pPr>
            <w:r>
              <w:rPr>
                <w:sz w:val="20"/>
              </w:rPr>
              <w:t xml:space="preserve">5</w:t>
            </w:r>
          </w:p>
        </w:tc>
        <w:tc>
          <w:tcPr>
            <w:tcW w:w="2716" w:type="dxa"/>
          </w:tcPr>
          <w:p>
            <w:pPr>
              <w:pStyle w:val="0"/>
            </w:pPr>
            <w:r>
              <w:rPr>
                <w:sz w:val="20"/>
              </w:rPr>
              <w:t xml:space="preserve">Индекс промышленного производства, % к предыдущему году в сопоставимых ценах</w:t>
            </w:r>
          </w:p>
        </w:tc>
        <w:tc>
          <w:tcPr>
            <w:tcW w:w="1058" w:type="dxa"/>
          </w:tcPr>
          <w:p>
            <w:pPr>
              <w:pStyle w:val="0"/>
              <w:jc w:val="center"/>
            </w:pPr>
            <w:r>
              <w:rPr>
                <w:sz w:val="20"/>
              </w:rPr>
              <w:t xml:space="preserve">103,2</w:t>
            </w:r>
          </w:p>
        </w:tc>
        <w:tc>
          <w:tcPr>
            <w:tcW w:w="1126" w:type="dxa"/>
          </w:tcPr>
          <w:p>
            <w:pPr>
              <w:pStyle w:val="0"/>
              <w:jc w:val="center"/>
            </w:pPr>
            <w:r>
              <w:rPr>
                <w:sz w:val="20"/>
              </w:rPr>
              <w:t xml:space="preserve">117,0</w:t>
            </w:r>
          </w:p>
        </w:tc>
        <w:tc>
          <w:tcPr>
            <w:tcW w:w="1077" w:type="dxa"/>
          </w:tcPr>
          <w:p>
            <w:pPr>
              <w:pStyle w:val="0"/>
              <w:jc w:val="center"/>
            </w:pPr>
            <w:r>
              <w:rPr>
                <w:sz w:val="20"/>
              </w:rPr>
              <w:t xml:space="preserve">108,8</w:t>
            </w:r>
          </w:p>
        </w:tc>
        <w:tc>
          <w:tcPr>
            <w:tcW w:w="964" w:type="dxa"/>
          </w:tcPr>
          <w:p>
            <w:pPr>
              <w:pStyle w:val="0"/>
              <w:jc w:val="center"/>
            </w:pPr>
            <w:r>
              <w:rPr>
                <w:sz w:val="20"/>
              </w:rPr>
              <w:t xml:space="preserve">108,5</w:t>
            </w:r>
          </w:p>
        </w:tc>
        <w:tc>
          <w:tcPr>
            <w:tcW w:w="964" w:type="dxa"/>
          </w:tcPr>
          <w:p>
            <w:pPr>
              <w:pStyle w:val="0"/>
              <w:jc w:val="center"/>
            </w:pPr>
            <w:r>
              <w:rPr>
                <w:sz w:val="20"/>
              </w:rPr>
              <w:t xml:space="preserve">103,0</w:t>
            </w:r>
          </w:p>
        </w:tc>
        <w:tc>
          <w:tcPr>
            <w:tcW w:w="1053" w:type="dxa"/>
          </w:tcPr>
          <w:p>
            <w:pPr>
              <w:pStyle w:val="0"/>
              <w:jc w:val="center"/>
            </w:pPr>
            <w:r>
              <w:rPr>
                <w:sz w:val="20"/>
              </w:rPr>
              <w:t xml:space="preserve">103,3</w:t>
            </w:r>
          </w:p>
        </w:tc>
        <w:tc>
          <w:tcPr>
            <w:tcW w:w="1020" w:type="dxa"/>
          </w:tcPr>
          <w:p>
            <w:pPr>
              <w:pStyle w:val="0"/>
              <w:jc w:val="center"/>
            </w:pPr>
            <w:r>
              <w:rPr>
                <w:sz w:val="20"/>
              </w:rPr>
              <w:t xml:space="preserve">103,3</w:t>
            </w:r>
          </w:p>
        </w:tc>
        <w:tc>
          <w:tcPr>
            <w:tcW w:w="964" w:type="dxa"/>
          </w:tcPr>
          <w:p>
            <w:pPr>
              <w:pStyle w:val="0"/>
              <w:jc w:val="center"/>
            </w:pPr>
            <w:r>
              <w:rPr>
                <w:sz w:val="20"/>
              </w:rPr>
              <w:t xml:space="preserve">103,2</w:t>
            </w:r>
          </w:p>
        </w:tc>
        <w:tc>
          <w:tcPr>
            <w:tcW w:w="1020" w:type="dxa"/>
          </w:tcPr>
          <w:p>
            <w:pPr>
              <w:pStyle w:val="0"/>
              <w:jc w:val="center"/>
            </w:pPr>
            <w:r>
              <w:rPr>
                <w:sz w:val="20"/>
              </w:rPr>
              <w:t xml:space="preserve">103,3</w:t>
            </w:r>
          </w:p>
        </w:tc>
        <w:tc>
          <w:tcPr>
            <w:tcW w:w="1020" w:type="dxa"/>
          </w:tcPr>
          <w:p>
            <w:pPr>
              <w:pStyle w:val="0"/>
              <w:jc w:val="center"/>
            </w:pPr>
            <w:r>
              <w:rPr>
                <w:sz w:val="20"/>
              </w:rPr>
              <w:t xml:space="preserve">103,7</w:t>
            </w:r>
          </w:p>
        </w:tc>
      </w:tr>
      <w:tr>
        <w:tc>
          <w:tcPr>
            <w:gridSpan w:val="12"/>
            <w:tcW w:w="13500" w:type="dxa"/>
          </w:tcPr>
          <w:p>
            <w:pPr>
              <w:pStyle w:val="0"/>
              <w:outlineLvl w:val="4"/>
            </w:pPr>
            <w:r>
              <w:rPr>
                <w:sz w:val="20"/>
              </w:rPr>
              <w:t xml:space="preserve">Сельское хозяйство</w:t>
            </w:r>
          </w:p>
        </w:tc>
      </w:tr>
      <w:tr>
        <w:tc>
          <w:tcPr>
            <w:tcW w:w="518" w:type="dxa"/>
          </w:tcPr>
          <w:p>
            <w:pPr>
              <w:pStyle w:val="0"/>
              <w:jc w:val="center"/>
            </w:pPr>
            <w:r>
              <w:rPr>
                <w:sz w:val="20"/>
              </w:rPr>
              <w:t xml:space="preserve">6</w:t>
            </w:r>
          </w:p>
        </w:tc>
        <w:tc>
          <w:tcPr>
            <w:tcW w:w="2716" w:type="dxa"/>
          </w:tcPr>
          <w:p>
            <w:pPr>
              <w:pStyle w:val="0"/>
            </w:pPr>
            <w:r>
              <w:rPr>
                <w:sz w:val="20"/>
              </w:rPr>
              <w:t xml:space="preserve">Продукция сельского хозяйства, млрд. рублей</w:t>
            </w:r>
          </w:p>
        </w:tc>
        <w:tc>
          <w:tcPr>
            <w:tcW w:w="1058" w:type="dxa"/>
          </w:tcPr>
          <w:p>
            <w:pPr>
              <w:pStyle w:val="0"/>
              <w:jc w:val="center"/>
            </w:pPr>
            <w:r>
              <w:rPr>
                <w:sz w:val="20"/>
              </w:rPr>
              <w:t xml:space="preserve">110,7</w:t>
            </w:r>
          </w:p>
        </w:tc>
        <w:tc>
          <w:tcPr>
            <w:tcW w:w="1126" w:type="dxa"/>
          </w:tcPr>
          <w:p>
            <w:pPr>
              <w:pStyle w:val="0"/>
              <w:jc w:val="center"/>
            </w:pPr>
            <w:r>
              <w:rPr>
                <w:sz w:val="20"/>
              </w:rPr>
              <w:t xml:space="preserve">110,0</w:t>
            </w:r>
          </w:p>
        </w:tc>
        <w:tc>
          <w:tcPr>
            <w:tcW w:w="1077" w:type="dxa"/>
          </w:tcPr>
          <w:p>
            <w:pPr>
              <w:pStyle w:val="0"/>
              <w:jc w:val="center"/>
            </w:pPr>
            <w:r>
              <w:rPr>
                <w:sz w:val="20"/>
              </w:rPr>
              <w:t xml:space="preserve">124,0</w:t>
            </w:r>
          </w:p>
        </w:tc>
        <w:tc>
          <w:tcPr>
            <w:tcW w:w="964" w:type="dxa"/>
          </w:tcPr>
          <w:p>
            <w:pPr>
              <w:pStyle w:val="0"/>
              <w:jc w:val="center"/>
            </w:pPr>
            <w:r>
              <w:rPr>
                <w:sz w:val="20"/>
              </w:rPr>
              <w:t xml:space="preserve">148,6</w:t>
            </w:r>
          </w:p>
        </w:tc>
        <w:tc>
          <w:tcPr>
            <w:tcW w:w="964" w:type="dxa"/>
          </w:tcPr>
          <w:p>
            <w:pPr>
              <w:pStyle w:val="0"/>
              <w:jc w:val="center"/>
            </w:pPr>
            <w:r>
              <w:rPr>
                <w:sz w:val="20"/>
              </w:rPr>
              <w:t xml:space="preserve">144,3</w:t>
            </w:r>
          </w:p>
        </w:tc>
        <w:tc>
          <w:tcPr>
            <w:tcW w:w="1053" w:type="dxa"/>
          </w:tcPr>
          <w:p>
            <w:pPr>
              <w:pStyle w:val="0"/>
              <w:jc w:val="center"/>
            </w:pPr>
            <w:r>
              <w:rPr>
                <w:sz w:val="20"/>
              </w:rPr>
              <w:t xml:space="preserve">155,4</w:t>
            </w:r>
          </w:p>
        </w:tc>
        <w:tc>
          <w:tcPr>
            <w:tcW w:w="1020" w:type="dxa"/>
          </w:tcPr>
          <w:p>
            <w:pPr>
              <w:pStyle w:val="0"/>
              <w:jc w:val="center"/>
            </w:pPr>
            <w:r>
              <w:rPr>
                <w:sz w:val="20"/>
              </w:rPr>
              <w:t xml:space="preserve">167,4</w:t>
            </w:r>
          </w:p>
        </w:tc>
        <w:tc>
          <w:tcPr>
            <w:tcW w:w="964" w:type="dxa"/>
          </w:tcPr>
          <w:p>
            <w:pPr>
              <w:pStyle w:val="0"/>
              <w:jc w:val="center"/>
            </w:pPr>
            <w:r>
              <w:rPr>
                <w:sz w:val="20"/>
              </w:rPr>
              <w:t xml:space="preserve">180,7</w:t>
            </w:r>
          </w:p>
        </w:tc>
        <w:tc>
          <w:tcPr>
            <w:tcW w:w="1020" w:type="dxa"/>
          </w:tcPr>
          <w:p>
            <w:pPr>
              <w:pStyle w:val="0"/>
              <w:jc w:val="center"/>
            </w:pPr>
            <w:r>
              <w:rPr>
                <w:sz w:val="20"/>
              </w:rPr>
              <w:t xml:space="preserve">195,2</w:t>
            </w:r>
          </w:p>
        </w:tc>
        <w:tc>
          <w:tcPr>
            <w:tcW w:w="1020" w:type="dxa"/>
          </w:tcPr>
          <w:p>
            <w:pPr>
              <w:pStyle w:val="0"/>
              <w:jc w:val="center"/>
            </w:pPr>
            <w:r>
              <w:rPr>
                <w:sz w:val="20"/>
              </w:rPr>
              <w:t xml:space="preserve">305,7</w:t>
            </w:r>
          </w:p>
        </w:tc>
      </w:tr>
      <w:tr>
        <w:tc>
          <w:tcPr>
            <w:tcW w:w="518" w:type="dxa"/>
          </w:tcPr>
          <w:p>
            <w:pPr>
              <w:pStyle w:val="0"/>
              <w:jc w:val="center"/>
            </w:pPr>
            <w:r>
              <w:rPr>
                <w:sz w:val="20"/>
              </w:rPr>
              <w:t xml:space="preserve">7</w:t>
            </w:r>
          </w:p>
        </w:tc>
        <w:tc>
          <w:tcPr>
            <w:tcW w:w="2716" w:type="dxa"/>
          </w:tcPr>
          <w:p>
            <w:pPr>
              <w:pStyle w:val="0"/>
            </w:pPr>
            <w:r>
              <w:rPr>
                <w:sz w:val="20"/>
              </w:rPr>
              <w:t xml:space="preserve">Индекс производства продукции сельского хозяйства, % к предыдущему году в сопоставимых ценах</w:t>
            </w:r>
          </w:p>
        </w:tc>
        <w:tc>
          <w:tcPr>
            <w:tcW w:w="1058" w:type="dxa"/>
          </w:tcPr>
          <w:p>
            <w:pPr>
              <w:pStyle w:val="0"/>
              <w:jc w:val="center"/>
            </w:pPr>
            <w:r>
              <w:rPr>
                <w:sz w:val="20"/>
              </w:rPr>
              <w:t xml:space="preserve">107,0</w:t>
            </w:r>
          </w:p>
        </w:tc>
        <w:tc>
          <w:tcPr>
            <w:tcW w:w="1126" w:type="dxa"/>
          </w:tcPr>
          <w:p>
            <w:pPr>
              <w:pStyle w:val="0"/>
              <w:jc w:val="center"/>
            </w:pPr>
            <w:r>
              <w:rPr>
                <w:sz w:val="20"/>
              </w:rPr>
              <w:t xml:space="preserve">107,1</w:t>
            </w:r>
          </w:p>
        </w:tc>
        <w:tc>
          <w:tcPr>
            <w:tcW w:w="1077" w:type="dxa"/>
          </w:tcPr>
          <w:p>
            <w:pPr>
              <w:pStyle w:val="0"/>
              <w:jc w:val="center"/>
            </w:pPr>
            <w:r>
              <w:rPr>
                <w:sz w:val="20"/>
              </w:rPr>
              <w:t xml:space="preserve">92,8</w:t>
            </w:r>
          </w:p>
        </w:tc>
        <w:tc>
          <w:tcPr>
            <w:tcW w:w="964" w:type="dxa"/>
          </w:tcPr>
          <w:p>
            <w:pPr>
              <w:pStyle w:val="0"/>
              <w:jc w:val="center"/>
            </w:pPr>
            <w:r>
              <w:rPr>
                <w:sz w:val="20"/>
              </w:rPr>
              <w:t xml:space="preserve">111,5</w:t>
            </w:r>
          </w:p>
        </w:tc>
        <w:tc>
          <w:tcPr>
            <w:tcW w:w="964" w:type="dxa"/>
          </w:tcPr>
          <w:p>
            <w:pPr>
              <w:pStyle w:val="0"/>
              <w:jc w:val="center"/>
            </w:pPr>
            <w:r>
              <w:rPr>
                <w:sz w:val="20"/>
              </w:rPr>
              <w:t xml:space="preserve">101,9</w:t>
            </w:r>
          </w:p>
        </w:tc>
        <w:tc>
          <w:tcPr>
            <w:tcW w:w="1053" w:type="dxa"/>
          </w:tcPr>
          <w:p>
            <w:pPr>
              <w:pStyle w:val="0"/>
              <w:jc w:val="center"/>
            </w:pPr>
            <w:r>
              <w:rPr>
                <w:sz w:val="20"/>
              </w:rPr>
              <w:t xml:space="preserve">102,4</w:t>
            </w:r>
          </w:p>
        </w:tc>
        <w:tc>
          <w:tcPr>
            <w:tcW w:w="1020" w:type="dxa"/>
          </w:tcPr>
          <w:p>
            <w:pPr>
              <w:pStyle w:val="0"/>
              <w:jc w:val="center"/>
            </w:pPr>
            <w:r>
              <w:rPr>
                <w:sz w:val="20"/>
              </w:rPr>
              <w:t xml:space="preserve">102,9</w:t>
            </w:r>
          </w:p>
        </w:tc>
        <w:tc>
          <w:tcPr>
            <w:tcW w:w="964" w:type="dxa"/>
          </w:tcPr>
          <w:p>
            <w:pPr>
              <w:pStyle w:val="0"/>
              <w:jc w:val="center"/>
            </w:pPr>
            <w:r>
              <w:rPr>
                <w:sz w:val="20"/>
              </w:rPr>
              <w:t xml:space="preserve">103</w:t>
            </w:r>
          </w:p>
        </w:tc>
        <w:tc>
          <w:tcPr>
            <w:tcW w:w="1020" w:type="dxa"/>
          </w:tcPr>
          <w:p>
            <w:pPr>
              <w:pStyle w:val="0"/>
              <w:jc w:val="center"/>
            </w:pPr>
            <w:r>
              <w:rPr>
                <w:sz w:val="20"/>
              </w:rPr>
              <w:t xml:space="preserve">103,2</w:t>
            </w:r>
          </w:p>
        </w:tc>
        <w:tc>
          <w:tcPr>
            <w:tcW w:w="1020" w:type="dxa"/>
          </w:tcPr>
          <w:p>
            <w:pPr>
              <w:pStyle w:val="0"/>
              <w:jc w:val="center"/>
            </w:pPr>
            <w:r>
              <w:rPr>
                <w:sz w:val="20"/>
              </w:rPr>
              <w:t xml:space="preserve">103,4</w:t>
            </w:r>
          </w:p>
        </w:tc>
      </w:tr>
      <w:tr>
        <w:tc>
          <w:tcPr>
            <w:gridSpan w:val="12"/>
            <w:tcW w:w="13500" w:type="dxa"/>
          </w:tcPr>
          <w:p>
            <w:pPr>
              <w:pStyle w:val="0"/>
              <w:outlineLvl w:val="4"/>
            </w:pPr>
            <w:r>
              <w:rPr>
                <w:sz w:val="20"/>
              </w:rPr>
              <w:t xml:space="preserve">Строительство</w:t>
            </w:r>
          </w:p>
        </w:tc>
      </w:tr>
      <w:tr>
        <w:tc>
          <w:tcPr>
            <w:tcW w:w="518" w:type="dxa"/>
          </w:tcPr>
          <w:p>
            <w:pPr>
              <w:pStyle w:val="0"/>
              <w:jc w:val="center"/>
            </w:pPr>
            <w:r>
              <w:rPr>
                <w:sz w:val="20"/>
              </w:rPr>
              <w:t xml:space="preserve">8</w:t>
            </w:r>
          </w:p>
        </w:tc>
        <w:tc>
          <w:tcPr>
            <w:tcW w:w="2716" w:type="dxa"/>
          </w:tcPr>
          <w:p>
            <w:pPr>
              <w:pStyle w:val="0"/>
            </w:pPr>
            <w:r>
              <w:rPr>
                <w:sz w:val="20"/>
              </w:rPr>
              <w:t xml:space="preserve">Объем работ, выполненных по виду деятельности "Строительство", в ценах соответствующих лет, млрд. рублей</w:t>
            </w:r>
          </w:p>
        </w:tc>
        <w:tc>
          <w:tcPr>
            <w:tcW w:w="1058" w:type="dxa"/>
          </w:tcPr>
          <w:p>
            <w:pPr>
              <w:pStyle w:val="0"/>
              <w:jc w:val="center"/>
            </w:pPr>
            <w:r>
              <w:rPr>
                <w:sz w:val="20"/>
              </w:rPr>
              <w:t xml:space="preserve">108,4</w:t>
            </w:r>
          </w:p>
        </w:tc>
        <w:tc>
          <w:tcPr>
            <w:tcW w:w="1126" w:type="dxa"/>
          </w:tcPr>
          <w:p>
            <w:pPr>
              <w:pStyle w:val="0"/>
              <w:jc w:val="center"/>
            </w:pPr>
            <w:r>
              <w:rPr>
                <w:sz w:val="20"/>
              </w:rPr>
              <w:t xml:space="preserve">129,4</w:t>
            </w:r>
          </w:p>
        </w:tc>
        <w:tc>
          <w:tcPr>
            <w:tcW w:w="1077" w:type="dxa"/>
          </w:tcPr>
          <w:p>
            <w:pPr>
              <w:pStyle w:val="0"/>
              <w:jc w:val="center"/>
            </w:pPr>
            <w:r>
              <w:rPr>
                <w:sz w:val="20"/>
              </w:rPr>
              <w:t xml:space="preserve">95,2</w:t>
            </w:r>
          </w:p>
        </w:tc>
        <w:tc>
          <w:tcPr>
            <w:tcW w:w="964" w:type="dxa"/>
          </w:tcPr>
          <w:p>
            <w:pPr>
              <w:pStyle w:val="0"/>
              <w:jc w:val="center"/>
            </w:pPr>
            <w:r>
              <w:rPr>
                <w:sz w:val="20"/>
              </w:rPr>
              <w:t xml:space="preserve">126,5</w:t>
            </w:r>
          </w:p>
        </w:tc>
        <w:tc>
          <w:tcPr>
            <w:tcW w:w="964" w:type="dxa"/>
          </w:tcPr>
          <w:p>
            <w:pPr>
              <w:pStyle w:val="0"/>
              <w:jc w:val="center"/>
            </w:pPr>
            <w:r>
              <w:rPr>
                <w:sz w:val="20"/>
              </w:rPr>
              <w:t xml:space="preserve">114,6</w:t>
            </w:r>
          </w:p>
        </w:tc>
        <w:tc>
          <w:tcPr>
            <w:tcW w:w="1053" w:type="dxa"/>
          </w:tcPr>
          <w:p>
            <w:pPr>
              <w:pStyle w:val="0"/>
              <w:jc w:val="center"/>
            </w:pPr>
            <w:r>
              <w:rPr>
                <w:sz w:val="20"/>
              </w:rPr>
              <w:t xml:space="preserve">121,7</w:t>
            </w:r>
          </w:p>
        </w:tc>
        <w:tc>
          <w:tcPr>
            <w:tcW w:w="1020" w:type="dxa"/>
          </w:tcPr>
          <w:p>
            <w:pPr>
              <w:pStyle w:val="0"/>
              <w:jc w:val="center"/>
            </w:pPr>
            <w:r>
              <w:rPr>
                <w:sz w:val="20"/>
              </w:rPr>
              <w:t xml:space="preserve">129,5</w:t>
            </w:r>
          </w:p>
        </w:tc>
        <w:tc>
          <w:tcPr>
            <w:tcW w:w="964" w:type="dxa"/>
          </w:tcPr>
          <w:p>
            <w:pPr>
              <w:pStyle w:val="0"/>
              <w:jc w:val="center"/>
            </w:pPr>
            <w:r>
              <w:rPr>
                <w:sz w:val="20"/>
              </w:rPr>
              <w:t xml:space="preserve">135,9</w:t>
            </w:r>
          </w:p>
        </w:tc>
        <w:tc>
          <w:tcPr>
            <w:tcW w:w="1020" w:type="dxa"/>
          </w:tcPr>
          <w:p>
            <w:pPr>
              <w:pStyle w:val="0"/>
              <w:jc w:val="center"/>
            </w:pPr>
            <w:r>
              <w:rPr>
                <w:sz w:val="20"/>
              </w:rPr>
              <w:t xml:space="preserve">142,8</w:t>
            </w:r>
          </w:p>
        </w:tc>
        <w:tc>
          <w:tcPr>
            <w:tcW w:w="1020" w:type="dxa"/>
          </w:tcPr>
          <w:p>
            <w:pPr>
              <w:pStyle w:val="0"/>
              <w:jc w:val="center"/>
            </w:pPr>
            <w:r>
              <w:rPr>
                <w:sz w:val="20"/>
              </w:rPr>
              <w:t xml:space="preserve">198,7</w:t>
            </w:r>
          </w:p>
        </w:tc>
      </w:tr>
      <w:tr>
        <w:tc>
          <w:tcPr>
            <w:tcW w:w="518" w:type="dxa"/>
          </w:tcPr>
          <w:p>
            <w:pPr>
              <w:pStyle w:val="0"/>
              <w:jc w:val="center"/>
            </w:pPr>
            <w:r>
              <w:rPr>
                <w:sz w:val="20"/>
              </w:rPr>
              <w:t xml:space="preserve">9</w:t>
            </w:r>
          </w:p>
        </w:tc>
        <w:tc>
          <w:tcPr>
            <w:tcW w:w="2716" w:type="dxa"/>
          </w:tcPr>
          <w:p>
            <w:pPr>
              <w:pStyle w:val="0"/>
            </w:pPr>
            <w:r>
              <w:rPr>
                <w:sz w:val="20"/>
              </w:rPr>
              <w:t xml:space="preserve">Индекс производства по виду деятельности "Строительство", % к пред. году в сопоставимых ценах</w:t>
            </w:r>
          </w:p>
        </w:tc>
        <w:tc>
          <w:tcPr>
            <w:tcW w:w="1058" w:type="dxa"/>
          </w:tcPr>
          <w:p>
            <w:pPr>
              <w:pStyle w:val="0"/>
              <w:jc w:val="center"/>
            </w:pPr>
            <w:r>
              <w:rPr>
                <w:sz w:val="20"/>
              </w:rPr>
              <w:t xml:space="preserve">91,4</w:t>
            </w:r>
          </w:p>
        </w:tc>
        <w:tc>
          <w:tcPr>
            <w:tcW w:w="1126" w:type="dxa"/>
          </w:tcPr>
          <w:p>
            <w:pPr>
              <w:pStyle w:val="0"/>
              <w:jc w:val="center"/>
            </w:pPr>
            <w:r>
              <w:rPr>
                <w:sz w:val="20"/>
              </w:rPr>
              <w:t xml:space="preserve">114,1</w:t>
            </w:r>
          </w:p>
        </w:tc>
        <w:tc>
          <w:tcPr>
            <w:tcW w:w="1077" w:type="dxa"/>
          </w:tcPr>
          <w:p>
            <w:pPr>
              <w:pStyle w:val="0"/>
              <w:jc w:val="center"/>
            </w:pPr>
            <w:r>
              <w:rPr>
                <w:sz w:val="20"/>
              </w:rPr>
              <w:t xml:space="preserve">68,7</w:t>
            </w:r>
          </w:p>
        </w:tc>
        <w:tc>
          <w:tcPr>
            <w:tcW w:w="964" w:type="dxa"/>
          </w:tcPr>
          <w:p>
            <w:pPr>
              <w:pStyle w:val="0"/>
              <w:jc w:val="center"/>
            </w:pPr>
            <w:r>
              <w:rPr>
                <w:sz w:val="20"/>
              </w:rPr>
              <w:t xml:space="preserve">125,5</w:t>
            </w:r>
          </w:p>
        </w:tc>
        <w:tc>
          <w:tcPr>
            <w:tcW w:w="964" w:type="dxa"/>
          </w:tcPr>
          <w:p>
            <w:pPr>
              <w:pStyle w:val="0"/>
              <w:jc w:val="center"/>
            </w:pPr>
            <w:r>
              <w:rPr>
                <w:sz w:val="20"/>
              </w:rPr>
              <w:t xml:space="preserve">101,4</w:t>
            </w:r>
          </w:p>
        </w:tc>
        <w:tc>
          <w:tcPr>
            <w:tcW w:w="1053" w:type="dxa"/>
          </w:tcPr>
          <w:p>
            <w:pPr>
              <w:pStyle w:val="0"/>
              <w:jc w:val="center"/>
            </w:pPr>
            <w:r>
              <w:rPr>
                <w:sz w:val="20"/>
              </w:rPr>
              <w:t xml:space="preserve">101,6</w:t>
            </w:r>
          </w:p>
        </w:tc>
        <w:tc>
          <w:tcPr>
            <w:tcW w:w="1020" w:type="dxa"/>
          </w:tcPr>
          <w:p>
            <w:pPr>
              <w:pStyle w:val="0"/>
              <w:jc w:val="center"/>
            </w:pPr>
            <w:r>
              <w:rPr>
                <w:sz w:val="20"/>
              </w:rPr>
              <w:t xml:space="preserve">102,0</w:t>
            </w:r>
          </w:p>
        </w:tc>
        <w:tc>
          <w:tcPr>
            <w:tcW w:w="964" w:type="dxa"/>
          </w:tcPr>
          <w:p>
            <w:pPr>
              <w:pStyle w:val="0"/>
              <w:jc w:val="center"/>
            </w:pPr>
            <w:r>
              <w:rPr>
                <w:sz w:val="20"/>
              </w:rPr>
              <w:t xml:space="preserve">101,5</w:t>
            </w:r>
          </w:p>
        </w:tc>
        <w:tc>
          <w:tcPr>
            <w:tcW w:w="1020" w:type="dxa"/>
          </w:tcPr>
          <w:p>
            <w:pPr>
              <w:pStyle w:val="0"/>
              <w:jc w:val="center"/>
            </w:pPr>
            <w:r>
              <w:rPr>
                <w:sz w:val="20"/>
              </w:rPr>
              <w:t xml:space="preserve">101,6</w:t>
            </w:r>
          </w:p>
        </w:tc>
        <w:tc>
          <w:tcPr>
            <w:tcW w:w="1020" w:type="dxa"/>
          </w:tcPr>
          <w:p>
            <w:pPr>
              <w:pStyle w:val="0"/>
              <w:jc w:val="center"/>
            </w:pPr>
            <w:r>
              <w:rPr>
                <w:sz w:val="20"/>
              </w:rPr>
              <w:t xml:space="preserve">102,2</w:t>
            </w:r>
          </w:p>
        </w:tc>
      </w:tr>
      <w:tr>
        <w:tc>
          <w:tcPr>
            <w:tcW w:w="518" w:type="dxa"/>
          </w:tcPr>
          <w:p>
            <w:pPr>
              <w:pStyle w:val="0"/>
              <w:jc w:val="center"/>
            </w:pPr>
            <w:r>
              <w:rPr>
                <w:sz w:val="20"/>
              </w:rPr>
              <w:t xml:space="preserve">10</w:t>
            </w:r>
          </w:p>
        </w:tc>
        <w:tc>
          <w:tcPr>
            <w:tcW w:w="2716" w:type="dxa"/>
          </w:tcPr>
          <w:p>
            <w:pPr>
              <w:pStyle w:val="0"/>
            </w:pPr>
            <w:r>
              <w:rPr>
                <w:sz w:val="20"/>
              </w:rPr>
              <w:t xml:space="preserve">Ввод в действие жилых домов, тыс. кв. м общей площади</w:t>
            </w:r>
          </w:p>
        </w:tc>
        <w:tc>
          <w:tcPr>
            <w:tcW w:w="1058" w:type="dxa"/>
          </w:tcPr>
          <w:p>
            <w:pPr>
              <w:pStyle w:val="0"/>
              <w:jc w:val="center"/>
            </w:pPr>
            <w:r>
              <w:rPr>
                <w:sz w:val="20"/>
              </w:rPr>
              <w:t xml:space="preserve">913,6</w:t>
            </w:r>
          </w:p>
        </w:tc>
        <w:tc>
          <w:tcPr>
            <w:tcW w:w="1126" w:type="dxa"/>
          </w:tcPr>
          <w:p>
            <w:pPr>
              <w:pStyle w:val="0"/>
              <w:jc w:val="center"/>
            </w:pPr>
            <w:r>
              <w:rPr>
                <w:sz w:val="20"/>
              </w:rPr>
              <w:t xml:space="preserve">1 104,7</w:t>
            </w:r>
          </w:p>
        </w:tc>
        <w:tc>
          <w:tcPr>
            <w:tcW w:w="1077" w:type="dxa"/>
          </w:tcPr>
          <w:p>
            <w:pPr>
              <w:pStyle w:val="0"/>
              <w:jc w:val="center"/>
            </w:pPr>
            <w:r>
              <w:rPr>
                <w:sz w:val="20"/>
              </w:rPr>
              <w:t xml:space="preserve">917,0</w:t>
            </w:r>
          </w:p>
        </w:tc>
        <w:tc>
          <w:tcPr>
            <w:tcW w:w="964" w:type="dxa"/>
          </w:tcPr>
          <w:p>
            <w:pPr>
              <w:pStyle w:val="0"/>
              <w:jc w:val="center"/>
            </w:pPr>
            <w:r>
              <w:rPr>
                <w:sz w:val="20"/>
              </w:rPr>
              <w:t xml:space="preserve">1 006,5</w:t>
            </w:r>
          </w:p>
        </w:tc>
        <w:tc>
          <w:tcPr>
            <w:tcW w:w="964" w:type="dxa"/>
          </w:tcPr>
          <w:p>
            <w:pPr>
              <w:pStyle w:val="0"/>
              <w:jc w:val="center"/>
            </w:pPr>
            <w:r>
              <w:rPr>
                <w:sz w:val="20"/>
              </w:rPr>
              <w:t xml:space="preserve">684,0</w:t>
            </w:r>
          </w:p>
        </w:tc>
        <w:tc>
          <w:tcPr>
            <w:tcW w:w="1053" w:type="dxa"/>
          </w:tcPr>
          <w:p>
            <w:pPr>
              <w:pStyle w:val="0"/>
              <w:jc w:val="center"/>
            </w:pPr>
            <w:r>
              <w:rPr>
                <w:sz w:val="20"/>
              </w:rPr>
              <w:t xml:space="preserve">673,0</w:t>
            </w:r>
          </w:p>
        </w:tc>
        <w:tc>
          <w:tcPr>
            <w:tcW w:w="1020" w:type="dxa"/>
          </w:tcPr>
          <w:p>
            <w:pPr>
              <w:pStyle w:val="0"/>
              <w:jc w:val="center"/>
            </w:pPr>
            <w:r>
              <w:rPr>
                <w:sz w:val="20"/>
              </w:rPr>
              <w:t xml:space="preserve">670,0</w:t>
            </w:r>
          </w:p>
        </w:tc>
        <w:tc>
          <w:tcPr>
            <w:tcW w:w="964" w:type="dxa"/>
          </w:tcPr>
          <w:p>
            <w:pPr>
              <w:pStyle w:val="0"/>
              <w:jc w:val="center"/>
            </w:pPr>
            <w:r>
              <w:rPr>
                <w:sz w:val="20"/>
              </w:rPr>
              <w:t xml:space="preserve">692,0</w:t>
            </w:r>
          </w:p>
        </w:tc>
        <w:tc>
          <w:tcPr>
            <w:tcW w:w="1020" w:type="dxa"/>
          </w:tcPr>
          <w:p>
            <w:pPr>
              <w:pStyle w:val="0"/>
              <w:jc w:val="center"/>
            </w:pPr>
            <w:r>
              <w:rPr>
                <w:sz w:val="20"/>
              </w:rPr>
              <w:t xml:space="preserve">892,0</w:t>
            </w:r>
          </w:p>
        </w:tc>
        <w:tc>
          <w:tcPr>
            <w:tcW w:w="1020" w:type="dxa"/>
          </w:tcPr>
          <w:p>
            <w:pPr>
              <w:pStyle w:val="0"/>
              <w:jc w:val="center"/>
            </w:pPr>
            <w:r>
              <w:rPr>
                <w:sz w:val="20"/>
              </w:rPr>
              <w:t xml:space="preserve">970,0</w:t>
            </w:r>
          </w:p>
        </w:tc>
      </w:tr>
      <w:tr>
        <w:tc>
          <w:tcPr>
            <w:gridSpan w:val="12"/>
            <w:tcW w:w="13500" w:type="dxa"/>
          </w:tcPr>
          <w:p>
            <w:pPr>
              <w:pStyle w:val="0"/>
              <w:outlineLvl w:val="4"/>
            </w:pPr>
            <w:r>
              <w:rPr>
                <w:sz w:val="20"/>
              </w:rPr>
              <w:t xml:space="preserve">Торговля и услуги населению</w:t>
            </w:r>
          </w:p>
        </w:tc>
      </w:tr>
      <w:tr>
        <w:tc>
          <w:tcPr>
            <w:tcW w:w="518" w:type="dxa"/>
          </w:tcPr>
          <w:p>
            <w:pPr>
              <w:pStyle w:val="0"/>
              <w:jc w:val="center"/>
            </w:pPr>
            <w:r>
              <w:rPr>
                <w:sz w:val="20"/>
              </w:rPr>
              <w:t xml:space="preserve">11</w:t>
            </w:r>
          </w:p>
        </w:tc>
        <w:tc>
          <w:tcPr>
            <w:tcW w:w="2716" w:type="dxa"/>
          </w:tcPr>
          <w:p>
            <w:pPr>
              <w:pStyle w:val="0"/>
            </w:pPr>
            <w:r>
              <w:rPr>
                <w:sz w:val="20"/>
              </w:rPr>
              <w:t xml:space="preserve">Индекс потребительских цен на конец года, % к декабрю предыдущего года</w:t>
            </w:r>
          </w:p>
        </w:tc>
        <w:tc>
          <w:tcPr>
            <w:tcW w:w="1058" w:type="dxa"/>
          </w:tcPr>
          <w:p>
            <w:pPr>
              <w:pStyle w:val="0"/>
              <w:jc w:val="center"/>
            </w:pPr>
            <w:r>
              <w:rPr>
                <w:sz w:val="20"/>
              </w:rPr>
              <w:t xml:space="preserve">109,7</w:t>
            </w:r>
          </w:p>
        </w:tc>
        <w:tc>
          <w:tcPr>
            <w:tcW w:w="1126" w:type="dxa"/>
          </w:tcPr>
          <w:p>
            <w:pPr>
              <w:pStyle w:val="0"/>
              <w:jc w:val="center"/>
            </w:pPr>
            <w:r>
              <w:rPr>
                <w:sz w:val="20"/>
              </w:rPr>
              <w:t xml:space="preserve">107,6</w:t>
            </w:r>
          </w:p>
        </w:tc>
        <w:tc>
          <w:tcPr>
            <w:tcW w:w="1077" w:type="dxa"/>
          </w:tcPr>
          <w:p>
            <w:pPr>
              <w:pStyle w:val="0"/>
              <w:jc w:val="center"/>
            </w:pPr>
            <w:r>
              <w:rPr>
                <w:sz w:val="20"/>
              </w:rPr>
              <w:t xml:space="preserve">109,1</w:t>
            </w:r>
          </w:p>
        </w:tc>
        <w:tc>
          <w:tcPr>
            <w:tcW w:w="964" w:type="dxa"/>
          </w:tcPr>
          <w:p>
            <w:pPr>
              <w:pStyle w:val="0"/>
              <w:jc w:val="center"/>
            </w:pPr>
            <w:r>
              <w:rPr>
                <w:sz w:val="20"/>
              </w:rPr>
              <w:t xml:space="preserve">107,02</w:t>
            </w:r>
          </w:p>
        </w:tc>
        <w:tc>
          <w:tcPr>
            <w:tcW w:w="964" w:type="dxa"/>
          </w:tcPr>
          <w:p>
            <w:pPr>
              <w:pStyle w:val="0"/>
              <w:jc w:val="center"/>
            </w:pPr>
            <w:r>
              <w:rPr>
                <w:sz w:val="20"/>
              </w:rPr>
              <w:t xml:space="preserve">104,3</w:t>
            </w:r>
          </w:p>
        </w:tc>
        <w:tc>
          <w:tcPr>
            <w:tcW w:w="1053" w:type="dxa"/>
          </w:tcPr>
          <w:p>
            <w:pPr>
              <w:pStyle w:val="0"/>
              <w:jc w:val="center"/>
            </w:pPr>
            <w:r>
              <w:rPr>
                <w:sz w:val="20"/>
              </w:rPr>
              <w:t xml:space="preserve">104,0</w:t>
            </w:r>
          </w:p>
        </w:tc>
        <w:tc>
          <w:tcPr>
            <w:tcW w:w="1020" w:type="dxa"/>
          </w:tcPr>
          <w:p>
            <w:pPr>
              <w:pStyle w:val="0"/>
              <w:jc w:val="center"/>
            </w:pPr>
            <w:r>
              <w:rPr>
                <w:sz w:val="20"/>
              </w:rPr>
              <w:t xml:space="preserve">104,0</w:t>
            </w:r>
          </w:p>
        </w:tc>
        <w:tc>
          <w:tcPr>
            <w:tcW w:w="964" w:type="dxa"/>
          </w:tcPr>
          <w:p>
            <w:pPr>
              <w:pStyle w:val="0"/>
              <w:jc w:val="center"/>
            </w:pPr>
            <w:r>
              <w:rPr>
                <w:sz w:val="20"/>
              </w:rPr>
              <w:t xml:space="preserve">104,0</w:t>
            </w:r>
          </w:p>
        </w:tc>
        <w:tc>
          <w:tcPr>
            <w:tcW w:w="1020" w:type="dxa"/>
          </w:tcPr>
          <w:p>
            <w:pPr>
              <w:pStyle w:val="0"/>
              <w:jc w:val="center"/>
            </w:pPr>
            <w:r>
              <w:rPr>
                <w:sz w:val="20"/>
              </w:rPr>
              <w:t xml:space="preserve">104,0</w:t>
            </w:r>
          </w:p>
        </w:tc>
        <w:tc>
          <w:tcPr>
            <w:tcW w:w="1020" w:type="dxa"/>
          </w:tcPr>
          <w:p>
            <w:pPr>
              <w:pStyle w:val="0"/>
              <w:jc w:val="center"/>
            </w:pPr>
            <w:r>
              <w:rPr>
                <w:sz w:val="20"/>
              </w:rPr>
              <w:t xml:space="preserve">104,0</w:t>
            </w:r>
          </w:p>
        </w:tc>
      </w:tr>
      <w:tr>
        <w:tc>
          <w:tcPr>
            <w:tcW w:w="518" w:type="dxa"/>
          </w:tcPr>
          <w:p>
            <w:pPr>
              <w:pStyle w:val="0"/>
              <w:jc w:val="center"/>
            </w:pPr>
            <w:r>
              <w:rPr>
                <w:sz w:val="20"/>
              </w:rPr>
              <w:t xml:space="preserve">12</w:t>
            </w:r>
          </w:p>
        </w:tc>
        <w:tc>
          <w:tcPr>
            <w:tcW w:w="2716" w:type="dxa"/>
          </w:tcPr>
          <w:p>
            <w:pPr>
              <w:pStyle w:val="0"/>
            </w:pPr>
            <w:r>
              <w:rPr>
                <w:sz w:val="20"/>
              </w:rPr>
              <w:t xml:space="preserve">Индекс потребительских цен в среднем за год, % к предыдущему году</w:t>
            </w:r>
          </w:p>
        </w:tc>
        <w:tc>
          <w:tcPr>
            <w:tcW w:w="1058" w:type="dxa"/>
          </w:tcPr>
          <w:p>
            <w:pPr>
              <w:pStyle w:val="0"/>
              <w:jc w:val="center"/>
            </w:pPr>
            <w:r>
              <w:rPr>
                <w:sz w:val="20"/>
              </w:rPr>
              <w:t xml:space="preserve">111,7</w:t>
            </w:r>
          </w:p>
        </w:tc>
        <w:tc>
          <w:tcPr>
            <w:tcW w:w="1126" w:type="dxa"/>
          </w:tcPr>
          <w:p>
            <w:pPr>
              <w:pStyle w:val="0"/>
              <w:jc w:val="center"/>
            </w:pPr>
            <w:r>
              <w:rPr>
                <w:sz w:val="20"/>
              </w:rPr>
              <w:t xml:space="preserve">105,7</w:t>
            </w:r>
          </w:p>
        </w:tc>
        <w:tc>
          <w:tcPr>
            <w:tcW w:w="1077" w:type="dxa"/>
          </w:tcPr>
          <w:p>
            <w:pPr>
              <w:pStyle w:val="0"/>
              <w:jc w:val="center"/>
            </w:pPr>
            <w:r>
              <w:rPr>
                <w:sz w:val="20"/>
              </w:rPr>
              <w:t xml:space="preserve">108,1</w:t>
            </w:r>
          </w:p>
        </w:tc>
        <w:tc>
          <w:tcPr>
            <w:tcW w:w="964" w:type="dxa"/>
          </w:tcPr>
          <w:p>
            <w:pPr>
              <w:pStyle w:val="0"/>
              <w:jc w:val="center"/>
            </w:pPr>
            <w:r>
              <w:rPr>
                <w:sz w:val="20"/>
              </w:rPr>
              <w:t xml:space="preserve">109,3</w:t>
            </w:r>
          </w:p>
        </w:tc>
        <w:tc>
          <w:tcPr>
            <w:tcW w:w="964" w:type="dxa"/>
          </w:tcPr>
          <w:p>
            <w:pPr>
              <w:pStyle w:val="0"/>
              <w:jc w:val="center"/>
            </w:pPr>
            <w:r>
              <w:rPr>
                <w:sz w:val="20"/>
              </w:rPr>
              <w:t xml:space="preserve">105,6</w:t>
            </w:r>
          </w:p>
        </w:tc>
        <w:tc>
          <w:tcPr>
            <w:tcW w:w="1053" w:type="dxa"/>
          </w:tcPr>
          <w:p>
            <w:pPr>
              <w:pStyle w:val="0"/>
              <w:jc w:val="center"/>
            </w:pPr>
            <w:r>
              <w:rPr>
                <w:sz w:val="20"/>
              </w:rPr>
              <w:t xml:space="preserve">104,0</w:t>
            </w:r>
          </w:p>
        </w:tc>
        <w:tc>
          <w:tcPr>
            <w:tcW w:w="1020" w:type="dxa"/>
          </w:tcPr>
          <w:p>
            <w:pPr>
              <w:pStyle w:val="0"/>
              <w:jc w:val="center"/>
            </w:pPr>
            <w:r>
              <w:rPr>
                <w:sz w:val="20"/>
              </w:rPr>
              <w:t xml:space="preserve">104,0</w:t>
            </w:r>
          </w:p>
        </w:tc>
        <w:tc>
          <w:tcPr>
            <w:tcW w:w="964" w:type="dxa"/>
          </w:tcPr>
          <w:p>
            <w:pPr>
              <w:pStyle w:val="0"/>
              <w:jc w:val="center"/>
            </w:pPr>
            <w:r>
              <w:rPr>
                <w:sz w:val="20"/>
              </w:rPr>
              <w:t xml:space="preserve">104,0</w:t>
            </w:r>
          </w:p>
        </w:tc>
        <w:tc>
          <w:tcPr>
            <w:tcW w:w="1020" w:type="dxa"/>
          </w:tcPr>
          <w:p>
            <w:pPr>
              <w:pStyle w:val="0"/>
              <w:jc w:val="center"/>
            </w:pPr>
            <w:r>
              <w:rPr>
                <w:sz w:val="20"/>
              </w:rPr>
              <w:t xml:space="preserve">104,0</w:t>
            </w:r>
          </w:p>
        </w:tc>
        <w:tc>
          <w:tcPr>
            <w:tcW w:w="1020" w:type="dxa"/>
          </w:tcPr>
          <w:p>
            <w:pPr>
              <w:pStyle w:val="0"/>
              <w:jc w:val="center"/>
            </w:pPr>
            <w:r>
              <w:rPr>
                <w:sz w:val="20"/>
              </w:rPr>
              <w:t xml:space="preserve">104,0</w:t>
            </w:r>
          </w:p>
        </w:tc>
      </w:tr>
      <w:tr>
        <w:tc>
          <w:tcPr>
            <w:tcW w:w="518" w:type="dxa"/>
          </w:tcPr>
          <w:p>
            <w:pPr>
              <w:pStyle w:val="0"/>
              <w:jc w:val="center"/>
            </w:pPr>
            <w:r>
              <w:rPr>
                <w:sz w:val="20"/>
              </w:rPr>
              <w:t xml:space="preserve">13</w:t>
            </w:r>
          </w:p>
        </w:tc>
        <w:tc>
          <w:tcPr>
            <w:tcW w:w="2716" w:type="dxa"/>
          </w:tcPr>
          <w:p>
            <w:pPr>
              <w:pStyle w:val="0"/>
            </w:pPr>
            <w:r>
              <w:rPr>
                <w:sz w:val="20"/>
              </w:rPr>
              <w:t xml:space="preserve">Оборот розничной торговли, млрд. рублей</w:t>
            </w:r>
          </w:p>
        </w:tc>
        <w:tc>
          <w:tcPr>
            <w:tcW w:w="1058" w:type="dxa"/>
          </w:tcPr>
          <w:p>
            <w:pPr>
              <w:pStyle w:val="0"/>
              <w:jc w:val="center"/>
            </w:pPr>
            <w:r>
              <w:rPr>
                <w:sz w:val="20"/>
              </w:rPr>
              <w:t xml:space="preserve">375,8</w:t>
            </w:r>
          </w:p>
        </w:tc>
        <w:tc>
          <w:tcPr>
            <w:tcW w:w="1126" w:type="dxa"/>
          </w:tcPr>
          <w:p>
            <w:pPr>
              <w:pStyle w:val="0"/>
              <w:jc w:val="center"/>
            </w:pPr>
            <w:r>
              <w:rPr>
                <w:sz w:val="20"/>
              </w:rPr>
              <w:t xml:space="preserve">435,5</w:t>
            </w:r>
          </w:p>
        </w:tc>
        <w:tc>
          <w:tcPr>
            <w:tcW w:w="1077" w:type="dxa"/>
          </w:tcPr>
          <w:p>
            <w:pPr>
              <w:pStyle w:val="0"/>
              <w:jc w:val="center"/>
            </w:pPr>
            <w:r>
              <w:rPr>
                <w:sz w:val="20"/>
              </w:rPr>
              <w:t xml:space="preserve">527,3</w:t>
            </w:r>
          </w:p>
        </w:tc>
        <w:tc>
          <w:tcPr>
            <w:tcW w:w="964" w:type="dxa"/>
          </w:tcPr>
          <w:p>
            <w:pPr>
              <w:pStyle w:val="0"/>
              <w:jc w:val="center"/>
            </w:pPr>
            <w:r>
              <w:rPr>
                <w:sz w:val="20"/>
              </w:rPr>
              <w:t xml:space="preserve">559,6</w:t>
            </w:r>
          </w:p>
        </w:tc>
        <w:tc>
          <w:tcPr>
            <w:tcW w:w="964" w:type="dxa"/>
          </w:tcPr>
          <w:p>
            <w:pPr>
              <w:pStyle w:val="0"/>
              <w:jc w:val="center"/>
            </w:pPr>
            <w:r>
              <w:rPr>
                <w:sz w:val="20"/>
              </w:rPr>
              <w:t xml:space="preserve">598,2</w:t>
            </w:r>
          </w:p>
        </w:tc>
        <w:tc>
          <w:tcPr>
            <w:tcW w:w="1053" w:type="dxa"/>
          </w:tcPr>
          <w:p>
            <w:pPr>
              <w:pStyle w:val="0"/>
              <w:jc w:val="center"/>
            </w:pPr>
            <w:r>
              <w:rPr>
                <w:sz w:val="20"/>
              </w:rPr>
              <w:t xml:space="preserve">642,9</w:t>
            </w:r>
          </w:p>
        </w:tc>
        <w:tc>
          <w:tcPr>
            <w:tcW w:w="1020" w:type="dxa"/>
          </w:tcPr>
          <w:p>
            <w:pPr>
              <w:pStyle w:val="0"/>
              <w:jc w:val="center"/>
            </w:pPr>
            <w:r>
              <w:rPr>
                <w:sz w:val="20"/>
              </w:rPr>
              <w:t xml:space="preserve">689,1</w:t>
            </w:r>
          </w:p>
        </w:tc>
        <w:tc>
          <w:tcPr>
            <w:tcW w:w="964" w:type="dxa"/>
          </w:tcPr>
          <w:p>
            <w:pPr>
              <w:pStyle w:val="0"/>
              <w:jc w:val="center"/>
            </w:pPr>
            <w:r>
              <w:rPr>
                <w:sz w:val="20"/>
              </w:rPr>
              <w:t xml:space="preserve">737,4</w:t>
            </w:r>
          </w:p>
        </w:tc>
        <w:tc>
          <w:tcPr>
            <w:tcW w:w="1020" w:type="dxa"/>
          </w:tcPr>
          <w:p>
            <w:pPr>
              <w:pStyle w:val="0"/>
              <w:jc w:val="center"/>
            </w:pPr>
            <w:r>
              <w:rPr>
                <w:sz w:val="20"/>
              </w:rPr>
              <w:t xml:space="preserve">789,9</w:t>
            </w:r>
          </w:p>
        </w:tc>
        <w:tc>
          <w:tcPr>
            <w:tcW w:w="1020" w:type="dxa"/>
          </w:tcPr>
          <w:p>
            <w:pPr>
              <w:pStyle w:val="0"/>
              <w:jc w:val="center"/>
            </w:pPr>
            <w:r>
              <w:rPr>
                <w:sz w:val="20"/>
              </w:rPr>
              <w:t xml:space="preserve">1 199,4</w:t>
            </w:r>
          </w:p>
        </w:tc>
      </w:tr>
      <w:tr>
        <w:tc>
          <w:tcPr>
            <w:tcW w:w="518" w:type="dxa"/>
          </w:tcPr>
          <w:p>
            <w:pPr>
              <w:pStyle w:val="0"/>
              <w:jc w:val="center"/>
            </w:pPr>
            <w:r>
              <w:rPr>
                <w:sz w:val="20"/>
              </w:rPr>
              <w:t xml:space="preserve">14</w:t>
            </w:r>
          </w:p>
        </w:tc>
        <w:tc>
          <w:tcPr>
            <w:tcW w:w="2716" w:type="dxa"/>
          </w:tcPr>
          <w:p>
            <w:pPr>
              <w:pStyle w:val="0"/>
            </w:pPr>
            <w:r>
              <w:rPr>
                <w:sz w:val="20"/>
              </w:rPr>
              <w:t xml:space="preserve">Темп роста оборота розничной торговли, % к предыдущему году в сопоставимых ценах</w:t>
            </w:r>
          </w:p>
        </w:tc>
        <w:tc>
          <w:tcPr>
            <w:tcW w:w="1058" w:type="dxa"/>
          </w:tcPr>
          <w:p>
            <w:pPr>
              <w:pStyle w:val="0"/>
              <w:jc w:val="center"/>
            </w:pPr>
            <w:r>
              <w:rPr>
                <w:sz w:val="20"/>
              </w:rPr>
              <w:t xml:space="preserve">96,1</w:t>
            </w:r>
          </w:p>
        </w:tc>
        <w:tc>
          <w:tcPr>
            <w:tcW w:w="1126" w:type="dxa"/>
          </w:tcPr>
          <w:p>
            <w:pPr>
              <w:pStyle w:val="0"/>
              <w:jc w:val="center"/>
            </w:pPr>
            <w:r>
              <w:rPr>
                <w:sz w:val="20"/>
              </w:rPr>
              <w:t xml:space="preserve">111</w:t>
            </w:r>
          </w:p>
        </w:tc>
        <w:tc>
          <w:tcPr>
            <w:tcW w:w="1077" w:type="dxa"/>
          </w:tcPr>
          <w:p>
            <w:pPr>
              <w:pStyle w:val="0"/>
              <w:jc w:val="center"/>
            </w:pPr>
            <w:r>
              <w:rPr>
                <w:sz w:val="20"/>
              </w:rPr>
              <w:t xml:space="preserve">112,2</w:t>
            </w:r>
          </w:p>
        </w:tc>
        <w:tc>
          <w:tcPr>
            <w:tcW w:w="964" w:type="dxa"/>
          </w:tcPr>
          <w:p>
            <w:pPr>
              <w:pStyle w:val="0"/>
              <w:jc w:val="center"/>
            </w:pPr>
            <w:r>
              <w:rPr>
                <w:sz w:val="20"/>
              </w:rPr>
              <w:t xml:space="preserve">98,5</w:t>
            </w:r>
          </w:p>
        </w:tc>
        <w:tc>
          <w:tcPr>
            <w:tcW w:w="964" w:type="dxa"/>
          </w:tcPr>
          <w:p>
            <w:pPr>
              <w:pStyle w:val="0"/>
              <w:jc w:val="center"/>
            </w:pPr>
            <w:r>
              <w:rPr>
                <w:sz w:val="20"/>
              </w:rPr>
              <w:t xml:space="preserve">101,1</w:t>
            </w:r>
          </w:p>
        </w:tc>
        <w:tc>
          <w:tcPr>
            <w:tcW w:w="1053" w:type="dxa"/>
          </w:tcPr>
          <w:p>
            <w:pPr>
              <w:pStyle w:val="0"/>
              <w:jc w:val="center"/>
            </w:pPr>
            <w:r>
              <w:rPr>
                <w:sz w:val="20"/>
              </w:rPr>
              <w:t xml:space="preserve">103,4</w:t>
            </w:r>
          </w:p>
        </w:tc>
        <w:tc>
          <w:tcPr>
            <w:tcW w:w="1020" w:type="dxa"/>
          </w:tcPr>
          <w:p>
            <w:pPr>
              <w:pStyle w:val="0"/>
              <w:jc w:val="center"/>
            </w:pPr>
            <w:r>
              <w:rPr>
                <w:sz w:val="20"/>
              </w:rPr>
              <w:t xml:space="preserve">103,1</w:t>
            </w:r>
          </w:p>
        </w:tc>
        <w:tc>
          <w:tcPr>
            <w:tcW w:w="964" w:type="dxa"/>
          </w:tcPr>
          <w:p>
            <w:pPr>
              <w:pStyle w:val="0"/>
              <w:jc w:val="center"/>
            </w:pPr>
            <w:r>
              <w:rPr>
                <w:sz w:val="20"/>
              </w:rPr>
              <w:t xml:space="preserve">103,2</w:t>
            </w:r>
          </w:p>
        </w:tc>
        <w:tc>
          <w:tcPr>
            <w:tcW w:w="1020" w:type="dxa"/>
          </w:tcPr>
          <w:p>
            <w:pPr>
              <w:pStyle w:val="0"/>
              <w:jc w:val="center"/>
            </w:pPr>
            <w:r>
              <w:rPr>
                <w:sz w:val="20"/>
              </w:rPr>
              <w:t xml:space="preserve">103,3</w:t>
            </w:r>
          </w:p>
        </w:tc>
        <w:tc>
          <w:tcPr>
            <w:tcW w:w="1020" w:type="dxa"/>
          </w:tcPr>
          <w:p>
            <w:pPr>
              <w:pStyle w:val="0"/>
              <w:jc w:val="center"/>
            </w:pPr>
            <w:r>
              <w:rPr>
                <w:sz w:val="20"/>
              </w:rPr>
              <w:t xml:space="preserve">103,5</w:t>
            </w:r>
          </w:p>
        </w:tc>
      </w:tr>
      <w:tr>
        <w:tc>
          <w:tcPr>
            <w:tcW w:w="518" w:type="dxa"/>
          </w:tcPr>
          <w:p>
            <w:pPr>
              <w:pStyle w:val="0"/>
              <w:jc w:val="center"/>
            </w:pPr>
            <w:r>
              <w:rPr>
                <w:sz w:val="20"/>
              </w:rPr>
              <w:t xml:space="preserve">15</w:t>
            </w:r>
          </w:p>
        </w:tc>
        <w:tc>
          <w:tcPr>
            <w:tcW w:w="2716" w:type="dxa"/>
          </w:tcPr>
          <w:p>
            <w:pPr>
              <w:pStyle w:val="0"/>
            </w:pPr>
            <w:r>
              <w:rPr>
                <w:sz w:val="20"/>
              </w:rPr>
              <w:t xml:space="preserve">Объем платных услуг населению, млрд. рублей</w:t>
            </w:r>
          </w:p>
        </w:tc>
        <w:tc>
          <w:tcPr>
            <w:tcW w:w="1058" w:type="dxa"/>
          </w:tcPr>
          <w:p>
            <w:pPr>
              <w:pStyle w:val="0"/>
              <w:jc w:val="center"/>
            </w:pPr>
            <w:r>
              <w:rPr>
                <w:sz w:val="20"/>
              </w:rPr>
              <w:t xml:space="preserve">95,8</w:t>
            </w:r>
          </w:p>
        </w:tc>
        <w:tc>
          <w:tcPr>
            <w:tcW w:w="1126" w:type="dxa"/>
          </w:tcPr>
          <w:p>
            <w:pPr>
              <w:pStyle w:val="0"/>
              <w:jc w:val="center"/>
            </w:pPr>
            <w:r>
              <w:rPr>
                <w:sz w:val="20"/>
              </w:rPr>
              <w:t xml:space="preserve">107,4</w:t>
            </w:r>
          </w:p>
        </w:tc>
        <w:tc>
          <w:tcPr>
            <w:tcW w:w="1077" w:type="dxa"/>
          </w:tcPr>
          <w:p>
            <w:pPr>
              <w:pStyle w:val="0"/>
              <w:jc w:val="center"/>
            </w:pPr>
            <w:r>
              <w:rPr>
                <w:sz w:val="20"/>
              </w:rPr>
              <w:t xml:space="preserve">115,8</w:t>
            </w:r>
          </w:p>
        </w:tc>
        <w:tc>
          <w:tcPr>
            <w:tcW w:w="964" w:type="dxa"/>
          </w:tcPr>
          <w:p>
            <w:pPr>
              <w:pStyle w:val="0"/>
              <w:jc w:val="center"/>
            </w:pPr>
            <w:r>
              <w:rPr>
                <w:sz w:val="20"/>
              </w:rPr>
              <w:t xml:space="preserve">131,2</w:t>
            </w:r>
          </w:p>
        </w:tc>
        <w:tc>
          <w:tcPr>
            <w:tcW w:w="964" w:type="dxa"/>
          </w:tcPr>
          <w:p>
            <w:pPr>
              <w:pStyle w:val="0"/>
              <w:jc w:val="center"/>
            </w:pPr>
            <w:r>
              <w:rPr>
                <w:sz w:val="20"/>
              </w:rPr>
              <w:t xml:space="preserve">140,2</w:t>
            </w:r>
          </w:p>
        </w:tc>
        <w:tc>
          <w:tcPr>
            <w:tcW w:w="1053" w:type="dxa"/>
          </w:tcPr>
          <w:p>
            <w:pPr>
              <w:pStyle w:val="0"/>
              <w:jc w:val="center"/>
            </w:pPr>
            <w:r>
              <w:rPr>
                <w:sz w:val="20"/>
              </w:rPr>
              <w:t xml:space="preserve">150,3</w:t>
            </w:r>
          </w:p>
        </w:tc>
        <w:tc>
          <w:tcPr>
            <w:tcW w:w="1020" w:type="dxa"/>
          </w:tcPr>
          <w:p>
            <w:pPr>
              <w:pStyle w:val="0"/>
              <w:jc w:val="center"/>
            </w:pPr>
            <w:r>
              <w:rPr>
                <w:sz w:val="20"/>
              </w:rPr>
              <w:t xml:space="preserve">160,1</w:t>
            </w:r>
          </w:p>
        </w:tc>
        <w:tc>
          <w:tcPr>
            <w:tcW w:w="964" w:type="dxa"/>
          </w:tcPr>
          <w:p>
            <w:pPr>
              <w:pStyle w:val="0"/>
              <w:jc w:val="center"/>
            </w:pPr>
            <w:r>
              <w:rPr>
                <w:sz w:val="20"/>
              </w:rPr>
              <w:t xml:space="preserve">170,1</w:t>
            </w:r>
          </w:p>
        </w:tc>
        <w:tc>
          <w:tcPr>
            <w:tcW w:w="1020" w:type="dxa"/>
          </w:tcPr>
          <w:p>
            <w:pPr>
              <w:pStyle w:val="0"/>
              <w:jc w:val="center"/>
            </w:pPr>
            <w:r>
              <w:rPr>
                <w:sz w:val="20"/>
              </w:rPr>
              <w:t xml:space="preserve">181,2</w:t>
            </w:r>
          </w:p>
        </w:tc>
        <w:tc>
          <w:tcPr>
            <w:tcW w:w="1020" w:type="dxa"/>
          </w:tcPr>
          <w:p>
            <w:pPr>
              <w:pStyle w:val="0"/>
              <w:jc w:val="center"/>
            </w:pPr>
            <w:r>
              <w:rPr>
                <w:sz w:val="20"/>
              </w:rPr>
              <w:t xml:space="preserve">267,8</w:t>
            </w:r>
          </w:p>
        </w:tc>
      </w:tr>
      <w:tr>
        <w:tc>
          <w:tcPr>
            <w:tcW w:w="518" w:type="dxa"/>
          </w:tcPr>
          <w:p>
            <w:pPr>
              <w:pStyle w:val="0"/>
              <w:jc w:val="center"/>
            </w:pPr>
            <w:r>
              <w:rPr>
                <w:sz w:val="20"/>
              </w:rPr>
              <w:t xml:space="preserve">16</w:t>
            </w:r>
          </w:p>
        </w:tc>
        <w:tc>
          <w:tcPr>
            <w:tcW w:w="2716" w:type="dxa"/>
          </w:tcPr>
          <w:p>
            <w:pPr>
              <w:pStyle w:val="0"/>
            </w:pPr>
            <w:r>
              <w:rPr>
                <w:sz w:val="20"/>
              </w:rPr>
              <w:t xml:space="preserve">Индекс физического объема платных услуг населению, % к предыдущему году в сопоставимых ценах</w:t>
            </w:r>
          </w:p>
        </w:tc>
        <w:tc>
          <w:tcPr>
            <w:tcW w:w="1058" w:type="dxa"/>
          </w:tcPr>
          <w:p>
            <w:pPr>
              <w:pStyle w:val="0"/>
              <w:jc w:val="center"/>
            </w:pPr>
            <w:r>
              <w:rPr>
                <w:sz w:val="20"/>
              </w:rPr>
              <w:t xml:space="preserve">107,2</w:t>
            </w:r>
          </w:p>
        </w:tc>
        <w:tc>
          <w:tcPr>
            <w:tcW w:w="1126" w:type="dxa"/>
          </w:tcPr>
          <w:p>
            <w:pPr>
              <w:pStyle w:val="0"/>
              <w:jc w:val="center"/>
            </w:pPr>
            <w:r>
              <w:rPr>
                <w:sz w:val="20"/>
              </w:rPr>
              <w:t xml:space="preserve">102,2</w:t>
            </w:r>
          </w:p>
        </w:tc>
        <w:tc>
          <w:tcPr>
            <w:tcW w:w="1077" w:type="dxa"/>
          </w:tcPr>
          <w:p>
            <w:pPr>
              <w:pStyle w:val="0"/>
              <w:jc w:val="center"/>
            </w:pPr>
            <w:r>
              <w:rPr>
                <w:sz w:val="20"/>
              </w:rPr>
              <w:t xml:space="preserve">100,3</w:t>
            </w:r>
          </w:p>
        </w:tc>
        <w:tc>
          <w:tcPr>
            <w:tcW w:w="964" w:type="dxa"/>
          </w:tcPr>
          <w:p>
            <w:pPr>
              <w:pStyle w:val="0"/>
              <w:jc w:val="center"/>
            </w:pPr>
            <w:r>
              <w:rPr>
                <w:sz w:val="20"/>
              </w:rPr>
              <w:t xml:space="preserve">101,2</w:t>
            </w:r>
          </w:p>
        </w:tc>
        <w:tc>
          <w:tcPr>
            <w:tcW w:w="964" w:type="dxa"/>
          </w:tcPr>
          <w:p>
            <w:pPr>
              <w:pStyle w:val="0"/>
              <w:jc w:val="center"/>
            </w:pPr>
            <w:r>
              <w:rPr>
                <w:sz w:val="20"/>
              </w:rPr>
              <w:t xml:space="preserve">101,0</w:t>
            </w:r>
          </w:p>
        </w:tc>
        <w:tc>
          <w:tcPr>
            <w:tcW w:w="1053" w:type="dxa"/>
          </w:tcPr>
          <w:p>
            <w:pPr>
              <w:pStyle w:val="0"/>
              <w:jc w:val="center"/>
            </w:pPr>
            <w:r>
              <w:rPr>
                <w:sz w:val="20"/>
              </w:rPr>
              <w:t xml:space="preserve">102,4</w:t>
            </w:r>
          </w:p>
        </w:tc>
        <w:tc>
          <w:tcPr>
            <w:tcW w:w="1020" w:type="dxa"/>
          </w:tcPr>
          <w:p>
            <w:pPr>
              <w:pStyle w:val="0"/>
              <w:jc w:val="center"/>
            </w:pPr>
            <w:r>
              <w:rPr>
                <w:sz w:val="20"/>
              </w:rPr>
              <w:t xml:space="preserve">102,4</w:t>
            </w:r>
          </w:p>
        </w:tc>
        <w:tc>
          <w:tcPr>
            <w:tcW w:w="964" w:type="dxa"/>
          </w:tcPr>
          <w:p>
            <w:pPr>
              <w:pStyle w:val="0"/>
              <w:jc w:val="center"/>
            </w:pPr>
            <w:r>
              <w:rPr>
                <w:sz w:val="20"/>
              </w:rPr>
              <w:t xml:space="preserve">102,5</w:t>
            </w:r>
          </w:p>
        </w:tc>
        <w:tc>
          <w:tcPr>
            <w:tcW w:w="1020" w:type="dxa"/>
          </w:tcPr>
          <w:p>
            <w:pPr>
              <w:pStyle w:val="0"/>
              <w:jc w:val="center"/>
            </w:pPr>
            <w:r>
              <w:rPr>
                <w:sz w:val="20"/>
              </w:rPr>
              <w:t xml:space="preserve">102,7</w:t>
            </w:r>
          </w:p>
        </w:tc>
        <w:tc>
          <w:tcPr>
            <w:tcW w:w="1020" w:type="dxa"/>
          </w:tcPr>
          <w:p>
            <w:pPr>
              <w:pStyle w:val="0"/>
              <w:jc w:val="center"/>
            </w:pPr>
            <w:r>
              <w:rPr>
                <w:sz w:val="20"/>
              </w:rPr>
              <w:t xml:space="preserve">103,4</w:t>
            </w:r>
          </w:p>
        </w:tc>
      </w:tr>
      <w:tr>
        <w:tc>
          <w:tcPr>
            <w:gridSpan w:val="12"/>
            <w:tcW w:w="13500" w:type="dxa"/>
          </w:tcPr>
          <w:p>
            <w:pPr>
              <w:pStyle w:val="0"/>
              <w:outlineLvl w:val="4"/>
            </w:pPr>
            <w:r>
              <w:rPr>
                <w:sz w:val="20"/>
              </w:rPr>
              <w:t xml:space="preserve">Малое и среднее предпринимательство, включая микропредприятия</w:t>
            </w:r>
          </w:p>
        </w:tc>
      </w:tr>
      <w:tr>
        <w:tc>
          <w:tcPr>
            <w:tcW w:w="518" w:type="dxa"/>
          </w:tcPr>
          <w:p>
            <w:pPr>
              <w:pStyle w:val="0"/>
              <w:jc w:val="center"/>
            </w:pPr>
            <w:r>
              <w:rPr>
                <w:sz w:val="20"/>
              </w:rPr>
              <w:t xml:space="preserve">17</w:t>
            </w:r>
          </w:p>
        </w:tc>
        <w:tc>
          <w:tcPr>
            <w:tcW w:w="2716" w:type="dxa"/>
          </w:tcPr>
          <w:p>
            <w:pPr>
              <w:pStyle w:val="0"/>
            </w:pPr>
            <w:r>
              <w:rPr>
                <w:sz w:val="20"/>
              </w:rPr>
              <w:t xml:space="preserve">Количество малых и средних предприятий, включая микропредприятия (на конец года), ед.</w:t>
            </w:r>
          </w:p>
        </w:tc>
        <w:tc>
          <w:tcPr>
            <w:tcW w:w="1058" w:type="dxa"/>
          </w:tcPr>
          <w:p>
            <w:pPr>
              <w:pStyle w:val="0"/>
              <w:jc w:val="center"/>
            </w:pPr>
            <w:r>
              <w:rPr>
                <w:sz w:val="20"/>
              </w:rPr>
              <w:t xml:space="preserve">17 545</w:t>
            </w:r>
          </w:p>
        </w:tc>
        <w:tc>
          <w:tcPr>
            <w:tcW w:w="1126" w:type="dxa"/>
          </w:tcPr>
          <w:p>
            <w:pPr>
              <w:pStyle w:val="0"/>
              <w:jc w:val="center"/>
            </w:pPr>
            <w:r>
              <w:rPr>
                <w:sz w:val="20"/>
              </w:rPr>
              <w:t xml:space="preserve">17 289</w:t>
            </w:r>
          </w:p>
        </w:tc>
        <w:tc>
          <w:tcPr>
            <w:tcW w:w="1077" w:type="dxa"/>
          </w:tcPr>
          <w:p>
            <w:pPr>
              <w:pStyle w:val="0"/>
              <w:jc w:val="center"/>
            </w:pPr>
            <w:r>
              <w:rPr>
                <w:sz w:val="20"/>
              </w:rPr>
              <w:t xml:space="preserve">16 625</w:t>
            </w:r>
          </w:p>
        </w:tc>
        <w:tc>
          <w:tcPr>
            <w:tcW w:w="964" w:type="dxa"/>
          </w:tcPr>
          <w:p>
            <w:pPr>
              <w:pStyle w:val="0"/>
              <w:jc w:val="center"/>
            </w:pPr>
            <w:r>
              <w:rPr>
                <w:sz w:val="20"/>
              </w:rPr>
              <w:t xml:space="preserve">16 065</w:t>
            </w:r>
          </w:p>
        </w:tc>
        <w:tc>
          <w:tcPr>
            <w:tcW w:w="964" w:type="dxa"/>
          </w:tcPr>
          <w:p>
            <w:pPr>
              <w:pStyle w:val="0"/>
              <w:jc w:val="center"/>
            </w:pPr>
            <w:r>
              <w:rPr>
                <w:sz w:val="20"/>
              </w:rPr>
              <w:t xml:space="preserve">15 696</w:t>
            </w:r>
          </w:p>
        </w:tc>
        <w:tc>
          <w:tcPr>
            <w:tcW w:w="1053" w:type="dxa"/>
          </w:tcPr>
          <w:p>
            <w:pPr>
              <w:pStyle w:val="0"/>
              <w:jc w:val="center"/>
            </w:pPr>
            <w:r>
              <w:rPr>
                <w:sz w:val="20"/>
              </w:rPr>
              <w:t xml:space="preserve">15 546</w:t>
            </w:r>
          </w:p>
        </w:tc>
        <w:tc>
          <w:tcPr>
            <w:tcW w:w="1020" w:type="dxa"/>
          </w:tcPr>
          <w:p>
            <w:pPr>
              <w:pStyle w:val="0"/>
              <w:jc w:val="center"/>
            </w:pPr>
            <w:r>
              <w:rPr>
                <w:sz w:val="20"/>
              </w:rPr>
              <w:t xml:space="preserve">15 496</w:t>
            </w:r>
          </w:p>
        </w:tc>
        <w:tc>
          <w:tcPr>
            <w:tcW w:w="964" w:type="dxa"/>
          </w:tcPr>
          <w:p>
            <w:pPr>
              <w:pStyle w:val="0"/>
              <w:jc w:val="center"/>
            </w:pPr>
            <w:r>
              <w:rPr>
                <w:sz w:val="20"/>
              </w:rPr>
              <w:t xml:space="preserve">15 602</w:t>
            </w:r>
          </w:p>
        </w:tc>
        <w:tc>
          <w:tcPr>
            <w:tcW w:w="1020" w:type="dxa"/>
          </w:tcPr>
          <w:p>
            <w:pPr>
              <w:pStyle w:val="0"/>
              <w:jc w:val="center"/>
            </w:pPr>
            <w:r>
              <w:rPr>
                <w:sz w:val="20"/>
              </w:rPr>
              <w:t xml:space="preserve">15 707</w:t>
            </w:r>
          </w:p>
        </w:tc>
        <w:tc>
          <w:tcPr>
            <w:tcW w:w="1020" w:type="dxa"/>
          </w:tcPr>
          <w:p>
            <w:pPr>
              <w:pStyle w:val="0"/>
              <w:jc w:val="center"/>
            </w:pPr>
            <w:r>
              <w:rPr>
                <w:sz w:val="20"/>
              </w:rPr>
              <w:t xml:space="preserve">16 310</w:t>
            </w:r>
          </w:p>
        </w:tc>
      </w:tr>
      <w:tr>
        <w:tc>
          <w:tcPr>
            <w:tcW w:w="518" w:type="dxa"/>
          </w:tcPr>
          <w:p>
            <w:pPr>
              <w:pStyle w:val="0"/>
              <w:jc w:val="center"/>
            </w:pPr>
            <w:r>
              <w:rPr>
                <w:sz w:val="20"/>
              </w:rPr>
              <w:t xml:space="preserve">18</w:t>
            </w:r>
          </w:p>
        </w:tc>
        <w:tc>
          <w:tcPr>
            <w:tcW w:w="2716" w:type="dxa"/>
          </w:tcPr>
          <w:p>
            <w:pPr>
              <w:pStyle w:val="0"/>
            </w:pPr>
            <w:r>
              <w:rPr>
                <w:sz w:val="20"/>
              </w:rPr>
              <w:t xml:space="preserve">Среднесписочная численность работников малых и средних предприятий (без внешних совместителей), тыс. человек</w:t>
            </w:r>
          </w:p>
        </w:tc>
        <w:tc>
          <w:tcPr>
            <w:tcW w:w="1058" w:type="dxa"/>
          </w:tcPr>
          <w:p>
            <w:pPr>
              <w:pStyle w:val="0"/>
              <w:jc w:val="center"/>
            </w:pPr>
            <w:r>
              <w:rPr>
                <w:sz w:val="20"/>
              </w:rPr>
              <w:t xml:space="preserve">112,1</w:t>
            </w:r>
          </w:p>
        </w:tc>
        <w:tc>
          <w:tcPr>
            <w:tcW w:w="1126" w:type="dxa"/>
          </w:tcPr>
          <w:p>
            <w:pPr>
              <w:pStyle w:val="0"/>
              <w:jc w:val="center"/>
            </w:pPr>
            <w:r>
              <w:rPr>
                <w:sz w:val="20"/>
              </w:rPr>
              <w:t xml:space="preserve">111,4</w:t>
            </w:r>
          </w:p>
        </w:tc>
        <w:tc>
          <w:tcPr>
            <w:tcW w:w="1077" w:type="dxa"/>
          </w:tcPr>
          <w:p>
            <w:pPr>
              <w:pStyle w:val="0"/>
              <w:jc w:val="center"/>
            </w:pPr>
            <w:r>
              <w:rPr>
                <w:sz w:val="20"/>
              </w:rPr>
              <w:t xml:space="preserve">109,6</w:t>
            </w:r>
          </w:p>
        </w:tc>
        <w:tc>
          <w:tcPr>
            <w:tcW w:w="964" w:type="dxa"/>
          </w:tcPr>
          <w:p>
            <w:pPr>
              <w:pStyle w:val="0"/>
              <w:jc w:val="center"/>
            </w:pPr>
            <w:r>
              <w:rPr>
                <w:sz w:val="20"/>
              </w:rPr>
              <w:t xml:space="preserve">106,9</w:t>
            </w:r>
          </w:p>
        </w:tc>
        <w:tc>
          <w:tcPr>
            <w:tcW w:w="964" w:type="dxa"/>
          </w:tcPr>
          <w:p>
            <w:pPr>
              <w:pStyle w:val="0"/>
              <w:jc w:val="center"/>
            </w:pPr>
            <w:r>
              <w:rPr>
                <w:sz w:val="20"/>
              </w:rPr>
              <w:t xml:space="preserve">106,1</w:t>
            </w:r>
          </w:p>
        </w:tc>
        <w:tc>
          <w:tcPr>
            <w:tcW w:w="1053" w:type="dxa"/>
          </w:tcPr>
          <w:p>
            <w:pPr>
              <w:pStyle w:val="0"/>
              <w:jc w:val="center"/>
            </w:pPr>
            <w:r>
              <w:rPr>
                <w:sz w:val="20"/>
              </w:rPr>
              <w:t xml:space="preserve">105,4</w:t>
            </w:r>
          </w:p>
        </w:tc>
        <w:tc>
          <w:tcPr>
            <w:tcW w:w="1020" w:type="dxa"/>
          </w:tcPr>
          <w:p>
            <w:pPr>
              <w:pStyle w:val="0"/>
              <w:jc w:val="center"/>
            </w:pPr>
            <w:r>
              <w:rPr>
                <w:sz w:val="20"/>
              </w:rPr>
              <w:t xml:space="preserve">105,3</w:t>
            </w:r>
          </w:p>
        </w:tc>
        <w:tc>
          <w:tcPr>
            <w:tcW w:w="964" w:type="dxa"/>
          </w:tcPr>
          <w:p>
            <w:pPr>
              <w:pStyle w:val="0"/>
              <w:jc w:val="center"/>
            </w:pPr>
            <w:r>
              <w:rPr>
                <w:sz w:val="20"/>
              </w:rPr>
              <w:t xml:space="preserve">105,1</w:t>
            </w:r>
          </w:p>
        </w:tc>
        <w:tc>
          <w:tcPr>
            <w:tcW w:w="1020" w:type="dxa"/>
          </w:tcPr>
          <w:p>
            <w:pPr>
              <w:pStyle w:val="0"/>
              <w:jc w:val="center"/>
            </w:pPr>
            <w:r>
              <w:rPr>
                <w:sz w:val="20"/>
              </w:rPr>
              <w:t xml:space="preserve">105</w:t>
            </w:r>
          </w:p>
        </w:tc>
        <w:tc>
          <w:tcPr>
            <w:tcW w:w="1020" w:type="dxa"/>
          </w:tcPr>
          <w:p>
            <w:pPr>
              <w:pStyle w:val="0"/>
              <w:jc w:val="center"/>
            </w:pPr>
            <w:r>
              <w:rPr>
                <w:sz w:val="20"/>
              </w:rPr>
              <w:t xml:space="preserve">107,6</w:t>
            </w:r>
          </w:p>
        </w:tc>
      </w:tr>
      <w:tr>
        <w:tc>
          <w:tcPr>
            <w:tcW w:w="518" w:type="dxa"/>
          </w:tcPr>
          <w:p>
            <w:pPr>
              <w:pStyle w:val="0"/>
              <w:jc w:val="center"/>
            </w:pPr>
            <w:r>
              <w:rPr>
                <w:sz w:val="20"/>
              </w:rPr>
              <w:t xml:space="preserve">19</w:t>
            </w:r>
          </w:p>
        </w:tc>
        <w:tc>
          <w:tcPr>
            <w:tcW w:w="2716" w:type="dxa"/>
          </w:tcPr>
          <w:p>
            <w:pPr>
              <w:pStyle w:val="0"/>
            </w:pPr>
            <w:r>
              <w:rPr>
                <w:sz w:val="20"/>
              </w:rPr>
              <w:t xml:space="preserve">Оборот малых и средних предприятий, включая микропредприятия, млрд. рублей</w:t>
            </w:r>
          </w:p>
        </w:tc>
        <w:tc>
          <w:tcPr>
            <w:tcW w:w="1058" w:type="dxa"/>
          </w:tcPr>
          <w:p>
            <w:pPr>
              <w:pStyle w:val="0"/>
              <w:jc w:val="center"/>
            </w:pPr>
            <w:r>
              <w:rPr>
                <w:sz w:val="20"/>
              </w:rPr>
              <w:t xml:space="preserve">543,7</w:t>
            </w:r>
          </w:p>
        </w:tc>
        <w:tc>
          <w:tcPr>
            <w:tcW w:w="1126" w:type="dxa"/>
          </w:tcPr>
          <w:p>
            <w:pPr>
              <w:pStyle w:val="0"/>
              <w:jc w:val="center"/>
            </w:pPr>
            <w:r>
              <w:rPr>
                <w:sz w:val="20"/>
              </w:rPr>
              <w:t xml:space="preserve">585,6</w:t>
            </w:r>
          </w:p>
        </w:tc>
        <w:tc>
          <w:tcPr>
            <w:tcW w:w="1077" w:type="dxa"/>
          </w:tcPr>
          <w:p>
            <w:pPr>
              <w:pStyle w:val="0"/>
              <w:jc w:val="center"/>
            </w:pPr>
            <w:r>
              <w:rPr>
                <w:sz w:val="20"/>
              </w:rPr>
              <w:t xml:space="preserve">651,0</w:t>
            </w:r>
          </w:p>
        </w:tc>
        <w:tc>
          <w:tcPr>
            <w:tcW w:w="964" w:type="dxa"/>
          </w:tcPr>
          <w:p>
            <w:pPr>
              <w:pStyle w:val="0"/>
              <w:jc w:val="center"/>
            </w:pPr>
            <w:r>
              <w:rPr>
                <w:sz w:val="20"/>
              </w:rPr>
              <w:t xml:space="preserve">673,8 &lt;*&gt;</w:t>
            </w:r>
          </w:p>
        </w:tc>
        <w:tc>
          <w:tcPr>
            <w:tcW w:w="964" w:type="dxa"/>
          </w:tcPr>
          <w:p>
            <w:pPr>
              <w:pStyle w:val="0"/>
              <w:jc w:val="center"/>
            </w:pPr>
            <w:r>
              <w:rPr>
                <w:sz w:val="20"/>
              </w:rPr>
              <w:t xml:space="preserve">709,5</w:t>
            </w:r>
          </w:p>
        </w:tc>
        <w:tc>
          <w:tcPr>
            <w:tcW w:w="1053" w:type="dxa"/>
          </w:tcPr>
          <w:p>
            <w:pPr>
              <w:pStyle w:val="0"/>
              <w:jc w:val="center"/>
            </w:pPr>
            <w:r>
              <w:rPr>
                <w:sz w:val="20"/>
              </w:rPr>
              <w:t xml:space="preserve">747,8</w:t>
            </w:r>
          </w:p>
        </w:tc>
        <w:tc>
          <w:tcPr>
            <w:tcW w:w="1020" w:type="dxa"/>
          </w:tcPr>
          <w:p>
            <w:pPr>
              <w:pStyle w:val="0"/>
              <w:jc w:val="center"/>
            </w:pPr>
            <w:r>
              <w:rPr>
                <w:sz w:val="20"/>
              </w:rPr>
              <w:t xml:space="preserve">789,7</w:t>
            </w:r>
          </w:p>
        </w:tc>
        <w:tc>
          <w:tcPr>
            <w:tcW w:w="964" w:type="dxa"/>
          </w:tcPr>
          <w:p>
            <w:pPr>
              <w:pStyle w:val="0"/>
              <w:jc w:val="center"/>
            </w:pPr>
            <w:r>
              <w:rPr>
                <w:sz w:val="20"/>
              </w:rPr>
              <w:t xml:space="preserve">833,1</w:t>
            </w:r>
          </w:p>
        </w:tc>
        <w:tc>
          <w:tcPr>
            <w:tcW w:w="1020" w:type="dxa"/>
          </w:tcPr>
          <w:p>
            <w:pPr>
              <w:pStyle w:val="0"/>
              <w:jc w:val="center"/>
            </w:pPr>
            <w:r>
              <w:rPr>
                <w:sz w:val="20"/>
              </w:rPr>
              <w:t xml:space="preserve">878,9</w:t>
            </w:r>
          </w:p>
        </w:tc>
        <w:tc>
          <w:tcPr>
            <w:tcW w:w="1020" w:type="dxa"/>
          </w:tcPr>
          <w:p>
            <w:pPr>
              <w:pStyle w:val="0"/>
              <w:jc w:val="center"/>
            </w:pPr>
            <w:r>
              <w:rPr>
                <w:sz w:val="20"/>
              </w:rPr>
              <w:t xml:space="preserve">1 230,0</w:t>
            </w:r>
          </w:p>
        </w:tc>
      </w:tr>
      <w:tr>
        <w:tc>
          <w:tcPr>
            <w:gridSpan w:val="12"/>
            <w:tcW w:w="13500" w:type="dxa"/>
          </w:tcPr>
          <w:p>
            <w:pPr>
              <w:pStyle w:val="0"/>
              <w:outlineLvl w:val="4"/>
            </w:pPr>
            <w:r>
              <w:rPr>
                <w:sz w:val="20"/>
              </w:rPr>
              <w:t xml:space="preserve">Инвестиции</w:t>
            </w:r>
          </w:p>
        </w:tc>
      </w:tr>
      <w:tr>
        <w:tc>
          <w:tcPr>
            <w:tcW w:w="518" w:type="dxa"/>
          </w:tcPr>
          <w:p>
            <w:pPr>
              <w:pStyle w:val="0"/>
              <w:jc w:val="center"/>
            </w:pPr>
            <w:r>
              <w:rPr>
                <w:sz w:val="20"/>
              </w:rPr>
              <w:t xml:space="preserve">20</w:t>
            </w:r>
          </w:p>
        </w:tc>
        <w:tc>
          <w:tcPr>
            <w:tcW w:w="2716" w:type="dxa"/>
          </w:tcPr>
          <w:p>
            <w:pPr>
              <w:pStyle w:val="0"/>
            </w:pPr>
            <w:r>
              <w:rPr>
                <w:sz w:val="20"/>
              </w:rPr>
              <w:t xml:space="preserve">Инвестиции в основной капитал, млрд. рублей</w:t>
            </w:r>
          </w:p>
        </w:tc>
        <w:tc>
          <w:tcPr>
            <w:tcW w:w="1058" w:type="dxa"/>
          </w:tcPr>
          <w:p>
            <w:pPr>
              <w:pStyle w:val="0"/>
              <w:jc w:val="center"/>
            </w:pPr>
            <w:r>
              <w:rPr>
                <w:sz w:val="20"/>
              </w:rPr>
              <w:t xml:space="preserve">212,3</w:t>
            </w:r>
          </w:p>
        </w:tc>
        <w:tc>
          <w:tcPr>
            <w:tcW w:w="1126" w:type="dxa"/>
          </w:tcPr>
          <w:p>
            <w:pPr>
              <w:pStyle w:val="0"/>
              <w:jc w:val="center"/>
            </w:pPr>
            <w:r>
              <w:rPr>
                <w:sz w:val="20"/>
              </w:rPr>
              <w:t xml:space="preserve">235,1</w:t>
            </w:r>
          </w:p>
        </w:tc>
        <w:tc>
          <w:tcPr>
            <w:tcW w:w="1077" w:type="dxa"/>
          </w:tcPr>
          <w:p>
            <w:pPr>
              <w:pStyle w:val="0"/>
              <w:jc w:val="center"/>
            </w:pPr>
            <w:r>
              <w:rPr>
                <w:sz w:val="20"/>
              </w:rPr>
              <w:t xml:space="preserve">272,9</w:t>
            </w:r>
          </w:p>
        </w:tc>
        <w:tc>
          <w:tcPr>
            <w:tcW w:w="964" w:type="dxa"/>
          </w:tcPr>
          <w:p>
            <w:pPr>
              <w:pStyle w:val="0"/>
              <w:jc w:val="center"/>
            </w:pPr>
            <w:r>
              <w:rPr>
                <w:sz w:val="20"/>
              </w:rPr>
              <w:t xml:space="preserve">306,7</w:t>
            </w:r>
          </w:p>
        </w:tc>
        <w:tc>
          <w:tcPr>
            <w:tcW w:w="964" w:type="dxa"/>
          </w:tcPr>
          <w:p>
            <w:pPr>
              <w:pStyle w:val="0"/>
              <w:jc w:val="center"/>
            </w:pPr>
            <w:r>
              <w:rPr>
                <w:sz w:val="20"/>
              </w:rPr>
              <w:t xml:space="preserve">312,7</w:t>
            </w:r>
          </w:p>
        </w:tc>
        <w:tc>
          <w:tcPr>
            <w:tcW w:w="1053" w:type="dxa"/>
          </w:tcPr>
          <w:p>
            <w:pPr>
              <w:pStyle w:val="0"/>
              <w:jc w:val="center"/>
            </w:pPr>
            <w:r>
              <w:rPr>
                <w:sz w:val="20"/>
              </w:rPr>
              <w:t xml:space="preserve">336,4</w:t>
            </w:r>
          </w:p>
        </w:tc>
        <w:tc>
          <w:tcPr>
            <w:tcW w:w="1020" w:type="dxa"/>
          </w:tcPr>
          <w:p>
            <w:pPr>
              <w:pStyle w:val="0"/>
              <w:jc w:val="center"/>
            </w:pPr>
            <w:r>
              <w:rPr>
                <w:sz w:val="20"/>
              </w:rPr>
              <w:t xml:space="preserve">362,9</w:t>
            </w:r>
          </w:p>
        </w:tc>
        <w:tc>
          <w:tcPr>
            <w:tcW w:w="964" w:type="dxa"/>
          </w:tcPr>
          <w:p>
            <w:pPr>
              <w:pStyle w:val="0"/>
              <w:jc w:val="center"/>
            </w:pPr>
            <w:r>
              <w:rPr>
                <w:sz w:val="20"/>
              </w:rPr>
              <w:t xml:space="preserve">384,2</w:t>
            </w:r>
          </w:p>
        </w:tc>
        <w:tc>
          <w:tcPr>
            <w:tcW w:w="1020" w:type="dxa"/>
          </w:tcPr>
          <w:p>
            <w:pPr>
              <w:pStyle w:val="0"/>
              <w:jc w:val="center"/>
            </w:pPr>
            <w:r>
              <w:rPr>
                <w:sz w:val="20"/>
              </w:rPr>
              <w:t xml:space="preserve">406,8</w:t>
            </w:r>
          </w:p>
        </w:tc>
        <w:tc>
          <w:tcPr>
            <w:tcW w:w="1020" w:type="dxa"/>
          </w:tcPr>
          <w:p>
            <w:pPr>
              <w:pStyle w:val="0"/>
              <w:jc w:val="center"/>
            </w:pPr>
            <w:r>
              <w:rPr>
                <w:sz w:val="20"/>
              </w:rPr>
              <w:t xml:space="preserve">573,3</w:t>
            </w:r>
          </w:p>
        </w:tc>
      </w:tr>
      <w:tr>
        <w:tc>
          <w:tcPr>
            <w:gridSpan w:val="12"/>
            <w:tcW w:w="13500" w:type="dxa"/>
          </w:tcPr>
          <w:p>
            <w:pPr>
              <w:pStyle w:val="0"/>
              <w:outlineLvl w:val="4"/>
            </w:pPr>
            <w:r>
              <w:rPr>
                <w:sz w:val="20"/>
              </w:rPr>
              <w:t xml:space="preserve">Труд и занятость</w:t>
            </w:r>
          </w:p>
        </w:tc>
      </w:tr>
      <w:tr>
        <w:tc>
          <w:tcPr>
            <w:tcW w:w="518" w:type="dxa"/>
          </w:tcPr>
          <w:p>
            <w:pPr>
              <w:pStyle w:val="0"/>
              <w:jc w:val="center"/>
            </w:pPr>
            <w:r>
              <w:rPr>
                <w:sz w:val="20"/>
              </w:rPr>
              <w:t xml:space="preserve">21</w:t>
            </w:r>
          </w:p>
        </w:tc>
        <w:tc>
          <w:tcPr>
            <w:tcW w:w="2716" w:type="dxa"/>
          </w:tcPr>
          <w:p>
            <w:pPr>
              <w:pStyle w:val="0"/>
            </w:pPr>
            <w:r>
              <w:rPr>
                <w:sz w:val="20"/>
              </w:rPr>
              <w:t xml:space="preserve">Численность рабочей силы, тыс. человек</w:t>
            </w:r>
          </w:p>
        </w:tc>
        <w:tc>
          <w:tcPr>
            <w:tcW w:w="1058" w:type="dxa"/>
          </w:tcPr>
          <w:p>
            <w:pPr>
              <w:pStyle w:val="0"/>
              <w:jc w:val="center"/>
            </w:pPr>
            <w:r>
              <w:rPr>
                <w:sz w:val="20"/>
              </w:rPr>
              <w:t xml:space="preserve">827,9</w:t>
            </w:r>
          </w:p>
        </w:tc>
        <w:tc>
          <w:tcPr>
            <w:tcW w:w="1126" w:type="dxa"/>
          </w:tcPr>
          <w:p>
            <w:pPr>
              <w:pStyle w:val="0"/>
              <w:jc w:val="center"/>
            </w:pPr>
            <w:r>
              <w:rPr>
                <w:sz w:val="20"/>
              </w:rPr>
              <w:t xml:space="preserve">799,8</w:t>
            </w:r>
          </w:p>
        </w:tc>
        <w:tc>
          <w:tcPr>
            <w:tcW w:w="1077" w:type="dxa"/>
          </w:tcPr>
          <w:p>
            <w:pPr>
              <w:pStyle w:val="0"/>
              <w:jc w:val="center"/>
            </w:pPr>
            <w:r>
              <w:rPr>
                <w:sz w:val="20"/>
              </w:rPr>
              <w:t xml:space="preserve">802,1</w:t>
            </w:r>
          </w:p>
        </w:tc>
        <w:tc>
          <w:tcPr>
            <w:tcW w:w="964" w:type="dxa"/>
          </w:tcPr>
          <w:p>
            <w:pPr>
              <w:pStyle w:val="0"/>
              <w:jc w:val="center"/>
            </w:pPr>
            <w:r>
              <w:rPr>
                <w:sz w:val="20"/>
              </w:rPr>
              <w:t xml:space="preserve">795,0 &lt;*&gt;</w:t>
            </w:r>
          </w:p>
        </w:tc>
        <w:tc>
          <w:tcPr>
            <w:tcW w:w="964" w:type="dxa"/>
          </w:tcPr>
          <w:p>
            <w:pPr>
              <w:pStyle w:val="0"/>
              <w:jc w:val="center"/>
            </w:pPr>
            <w:r>
              <w:rPr>
                <w:sz w:val="20"/>
              </w:rPr>
              <w:t xml:space="preserve">797,4</w:t>
            </w:r>
          </w:p>
        </w:tc>
        <w:tc>
          <w:tcPr>
            <w:tcW w:w="1053" w:type="dxa"/>
          </w:tcPr>
          <w:p>
            <w:pPr>
              <w:pStyle w:val="0"/>
              <w:jc w:val="center"/>
            </w:pPr>
            <w:r>
              <w:rPr>
                <w:sz w:val="20"/>
              </w:rPr>
              <w:t xml:space="preserve">799,3</w:t>
            </w:r>
          </w:p>
        </w:tc>
        <w:tc>
          <w:tcPr>
            <w:tcW w:w="1020" w:type="dxa"/>
          </w:tcPr>
          <w:p>
            <w:pPr>
              <w:pStyle w:val="0"/>
              <w:jc w:val="center"/>
            </w:pPr>
            <w:r>
              <w:rPr>
                <w:sz w:val="20"/>
              </w:rPr>
              <w:t xml:space="preserve">801,3</w:t>
            </w:r>
          </w:p>
        </w:tc>
        <w:tc>
          <w:tcPr>
            <w:tcW w:w="964" w:type="dxa"/>
          </w:tcPr>
          <w:p>
            <w:pPr>
              <w:pStyle w:val="0"/>
              <w:jc w:val="center"/>
            </w:pPr>
            <w:r>
              <w:rPr>
                <w:sz w:val="20"/>
              </w:rPr>
              <w:t xml:space="preserve">801,5</w:t>
            </w:r>
          </w:p>
        </w:tc>
        <w:tc>
          <w:tcPr>
            <w:tcW w:w="1020" w:type="dxa"/>
          </w:tcPr>
          <w:p>
            <w:pPr>
              <w:pStyle w:val="0"/>
              <w:jc w:val="center"/>
            </w:pPr>
            <w:r>
              <w:rPr>
                <w:sz w:val="20"/>
              </w:rPr>
              <w:t xml:space="preserve">801,6</w:t>
            </w:r>
          </w:p>
        </w:tc>
        <w:tc>
          <w:tcPr>
            <w:tcW w:w="1020" w:type="dxa"/>
          </w:tcPr>
          <w:p>
            <w:pPr>
              <w:pStyle w:val="0"/>
              <w:jc w:val="center"/>
            </w:pPr>
            <w:r>
              <w:rPr>
                <w:sz w:val="20"/>
              </w:rPr>
              <w:t xml:space="preserve">801,9</w:t>
            </w:r>
          </w:p>
        </w:tc>
      </w:tr>
      <w:tr>
        <w:tc>
          <w:tcPr>
            <w:tcW w:w="518" w:type="dxa"/>
          </w:tcPr>
          <w:p>
            <w:pPr>
              <w:pStyle w:val="0"/>
              <w:jc w:val="center"/>
            </w:pPr>
            <w:r>
              <w:rPr>
                <w:sz w:val="20"/>
              </w:rPr>
              <w:t xml:space="preserve">22</w:t>
            </w:r>
          </w:p>
        </w:tc>
        <w:tc>
          <w:tcPr>
            <w:tcW w:w="2716" w:type="dxa"/>
          </w:tcPr>
          <w:p>
            <w:pPr>
              <w:pStyle w:val="0"/>
            </w:pPr>
            <w:r>
              <w:rPr>
                <w:sz w:val="20"/>
              </w:rPr>
              <w:t xml:space="preserve">Численность занятых в экономике, тыс. человек</w:t>
            </w:r>
          </w:p>
        </w:tc>
        <w:tc>
          <w:tcPr>
            <w:tcW w:w="1058" w:type="dxa"/>
          </w:tcPr>
          <w:p>
            <w:pPr>
              <w:pStyle w:val="0"/>
              <w:jc w:val="center"/>
            </w:pPr>
            <w:r>
              <w:rPr>
                <w:sz w:val="20"/>
              </w:rPr>
              <w:t xml:space="preserve">716,0</w:t>
            </w:r>
          </w:p>
        </w:tc>
        <w:tc>
          <w:tcPr>
            <w:tcW w:w="1126" w:type="dxa"/>
          </w:tcPr>
          <w:p>
            <w:pPr>
              <w:pStyle w:val="0"/>
              <w:jc w:val="center"/>
            </w:pPr>
            <w:r>
              <w:rPr>
                <w:sz w:val="20"/>
              </w:rPr>
              <w:t xml:space="preserve">736,4</w:t>
            </w:r>
          </w:p>
        </w:tc>
        <w:tc>
          <w:tcPr>
            <w:tcW w:w="1077" w:type="dxa"/>
          </w:tcPr>
          <w:p>
            <w:pPr>
              <w:pStyle w:val="0"/>
              <w:jc w:val="center"/>
            </w:pPr>
            <w:r>
              <w:rPr>
                <w:sz w:val="20"/>
              </w:rPr>
              <w:t xml:space="preserve">741,9</w:t>
            </w:r>
          </w:p>
        </w:tc>
        <w:tc>
          <w:tcPr>
            <w:tcW w:w="964" w:type="dxa"/>
          </w:tcPr>
          <w:p>
            <w:pPr>
              <w:pStyle w:val="0"/>
              <w:jc w:val="center"/>
            </w:pPr>
            <w:r>
              <w:rPr>
                <w:sz w:val="20"/>
              </w:rPr>
              <w:t xml:space="preserve">742,9 &lt;*&gt;</w:t>
            </w:r>
          </w:p>
        </w:tc>
        <w:tc>
          <w:tcPr>
            <w:tcW w:w="964" w:type="dxa"/>
          </w:tcPr>
          <w:p>
            <w:pPr>
              <w:pStyle w:val="0"/>
              <w:jc w:val="center"/>
            </w:pPr>
            <w:r>
              <w:rPr>
                <w:sz w:val="20"/>
              </w:rPr>
              <w:t xml:space="preserve">746,8</w:t>
            </w:r>
          </w:p>
        </w:tc>
        <w:tc>
          <w:tcPr>
            <w:tcW w:w="1053" w:type="dxa"/>
          </w:tcPr>
          <w:p>
            <w:pPr>
              <w:pStyle w:val="0"/>
              <w:jc w:val="center"/>
            </w:pPr>
            <w:r>
              <w:rPr>
                <w:sz w:val="20"/>
              </w:rPr>
              <w:t xml:space="preserve">749,7</w:t>
            </w:r>
          </w:p>
        </w:tc>
        <w:tc>
          <w:tcPr>
            <w:tcW w:w="1020" w:type="dxa"/>
          </w:tcPr>
          <w:p>
            <w:pPr>
              <w:pStyle w:val="0"/>
              <w:jc w:val="center"/>
            </w:pPr>
            <w:r>
              <w:rPr>
                <w:sz w:val="20"/>
              </w:rPr>
              <w:t xml:space="preserve">754,0</w:t>
            </w:r>
          </w:p>
        </w:tc>
        <w:tc>
          <w:tcPr>
            <w:tcW w:w="964" w:type="dxa"/>
          </w:tcPr>
          <w:p>
            <w:pPr>
              <w:pStyle w:val="0"/>
              <w:jc w:val="center"/>
            </w:pPr>
            <w:r>
              <w:rPr>
                <w:sz w:val="20"/>
              </w:rPr>
              <w:t xml:space="preserve">753,0</w:t>
            </w:r>
          </w:p>
        </w:tc>
        <w:tc>
          <w:tcPr>
            <w:tcW w:w="1020" w:type="dxa"/>
          </w:tcPr>
          <w:p>
            <w:pPr>
              <w:pStyle w:val="0"/>
              <w:jc w:val="center"/>
            </w:pPr>
            <w:r>
              <w:rPr>
                <w:sz w:val="20"/>
              </w:rPr>
              <w:t xml:space="preserve">754,9</w:t>
            </w:r>
          </w:p>
        </w:tc>
        <w:tc>
          <w:tcPr>
            <w:tcW w:w="1020" w:type="dxa"/>
          </w:tcPr>
          <w:p>
            <w:pPr>
              <w:pStyle w:val="0"/>
              <w:jc w:val="center"/>
            </w:pPr>
            <w:r>
              <w:rPr>
                <w:sz w:val="20"/>
              </w:rPr>
              <w:t xml:space="preserve">757,9</w:t>
            </w:r>
          </w:p>
        </w:tc>
      </w:tr>
      <w:tr>
        <w:tc>
          <w:tcPr>
            <w:tcW w:w="518" w:type="dxa"/>
          </w:tcPr>
          <w:p>
            <w:pPr>
              <w:pStyle w:val="0"/>
              <w:jc w:val="center"/>
            </w:pPr>
            <w:r>
              <w:rPr>
                <w:sz w:val="20"/>
              </w:rPr>
              <w:t xml:space="preserve">23</w:t>
            </w:r>
          </w:p>
        </w:tc>
        <w:tc>
          <w:tcPr>
            <w:tcW w:w="2716" w:type="dxa"/>
          </w:tcPr>
          <w:p>
            <w:pPr>
              <w:pStyle w:val="0"/>
            </w:pPr>
            <w:r>
              <w:rPr>
                <w:sz w:val="20"/>
              </w:rPr>
              <w:t xml:space="preserve">Уровень безработицы, % к рабочей силе</w:t>
            </w:r>
          </w:p>
        </w:tc>
        <w:tc>
          <w:tcPr>
            <w:tcW w:w="1058" w:type="dxa"/>
          </w:tcPr>
          <w:p>
            <w:pPr>
              <w:pStyle w:val="0"/>
              <w:jc w:val="center"/>
            </w:pPr>
            <w:r>
              <w:rPr>
                <w:sz w:val="20"/>
              </w:rPr>
              <w:t xml:space="preserve">3,57</w:t>
            </w:r>
          </w:p>
        </w:tc>
        <w:tc>
          <w:tcPr>
            <w:tcW w:w="1126" w:type="dxa"/>
          </w:tcPr>
          <w:p>
            <w:pPr>
              <w:pStyle w:val="0"/>
              <w:jc w:val="center"/>
            </w:pPr>
            <w:r>
              <w:rPr>
                <w:sz w:val="20"/>
              </w:rPr>
              <w:t xml:space="preserve">2,73</w:t>
            </w:r>
          </w:p>
        </w:tc>
        <w:tc>
          <w:tcPr>
            <w:tcW w:w="1077" w:type="dxa"/>
          </w:tcPr>
          <w:p>
            <w:pPr>
              <w:pStyle w:val="0"/>
              <w:jc w:val="center"/>
            </w:pPr>
            <w:r>
              <w:rPr>
                <w:sz w:val="20"/>
              </w:rPr>
              <w:t xml:space="preserve">2,11</w:t>
            </w:r>
          </w:p>
        </w:tc>
        <w:tc>
          <w:tcPr>
            <w:tcW w:w="964" w:type="dxa"/>
          </w:tcPr>
          <w:p>
            <w:pPr>
              <w:pStyle w:val="0"/>
              <w:jc w:val="center"/>
            </w:pPr>
            <w:r>
              <w:rPr>
                <w:sz w:val="20"/>
              </w:rPr>
              <w:t xml:space="preserve">1,76 &lt;*&gt;</w:t>
            </w:r>
          </w:p>
        </w:tc>
        <w:tc>
          <w:tcPr>
            <w:tcW w:w="964" w:type="dxa"/>
          </w:tcPr>
          <w:p>
            <w:pPr>
              <w:pStyle w:val="0"/>
              <w:jc w:val="center"/>
            </w:pPr>
            <w:r>
              <w:rPr>
                <w:sz w:val="20"/>
              </w:rPr>
              <w:t xml:space="preserve">1,89</w:t>
            </w:r>
          </w:p>
        </w:tc>
        <w:tc>
          <w:tcPr>
            <w:tcW w:w="1053" w:type="dxa"/>
          </w:tcPr>
          <w:p>
            <w:pPr>
              <w:pStyle w:val="0"/>
              <w:jc w:val="center"/>
            </w:pPr>
            <w:r>
              <w:rPr>
                <w:sz w:val="20"/>
              </w:rPr>
              <w:t xml:space="preserve">1,80</w:t>
            </w:r>
          </w:p>
        </w:tc>
        <w:tc>
          <w:tcPr>
            <w:tcW w:w="1020" w:type="dxa"/>
          </w:tcPr>
          <w:p>
            <w:pPr>
              <w:pStyle w:val="0"/>
              <w:jc w:val="center"/>
            </w:pPr>
            <w:r>
              <w:rPr>
                <w:sz w:val="20"/>
              </w:rPr>
              <w:t xml:space="preserve">1,73</w:t>
            </w:r>
          </w:p>
        </w:tc>
        <w:tc>
          <w:tcPr>
            <w:tcW w:w="964" w:type="dxa"/>
          </w:tcPr>
          <w:p>
            <w:pPr>
              <w:pStyle w:val="0"/>
              <w:jc w:val="center"/>
            </w:pPr>
            <w:r>
              <w:rPr>
                <w:sz w:val="20"/>
              </w:rPr>
              <w:t xml:space="preserve">1,72</w:t>
            </w:r>
          </w:p>
        </w:tc>
        <w:tc>
          <w:tcPr>
            <w:tcW w:w="1020" w:type="dxa"/>
          </w:tcPr>
          <w:p>
            <w:pPr>
              <w:pStyle w:val="0"/>
              <w:jc w:val="center"/>
            </w:pPr>
            <w:r>
              <w:rPr>
                <w:sz w:val="20"/>
              </w:rPr>
              <w:t xml:space="preserve">1,72</w:t>
            </w:r>
          </w:p>
        </w:tc>
        <w:tc>
          <w:tcPr>
            <w:tcW w:w="1020" w:type="dxa"/>
          </w:tcPr>
          <w:p>
            <w:pPr>
              <w:pStyle w:val="0"/>
              <w:jc w:val="center"/>
            </w:pPr>
            <w:r>
              <w:rPr>
                <w:sz w:val="20"/>
              </w:rPr>
              <w:t xml:space="preserve">1,69</w:t>
            </w:r>
          </w:p>
        </w:tc>
      </w:tr>
    </w:tbl>
    <w:p>
      <w:pPr>
        <w:sectPr>
          <w:headerReference w:type="default" r:id="rId11"/>
          <w:headerReference w:type="first" r:id="rId11"/>
          <w:footerReference w:type="default" r:id="rId12"/>
          <w:footerReference w:type="first" r:id="rId12"/>
          <w:pgSz w:w="16838" w:h="11906" w:orient="landscape"/>
          <w:pgMar w:top="1133" w:right="1440" w:bottom="566" w:left="1440" w:header="0" w:footer="0" w:gutter="0"/>
          <w:titlePg/>
        </w:sectPr>
      </w:pPr>
    </w:p>
    <w:p>
      <w:pPr>
        <w:pStyle w:val="0"/>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&lt;*&gt; Оценка.</w:t>
      </w:r>
    </w:p>
    <w:p>
      <w:pPr>
        <w:pStyle w:val="0"/>
        <w:spacing w:before="200" w:lineRule="auto"/>
        <w:ind w:firstLine="540"/>
        <w:jc w:val="both"/>
      </w:pPr>
      <w:r>
        <w:rPr>
          <w:sz w:val="20"/>
        </w:rPr>
        <w:t xml:space="preserve">Источник: </w:t>
      </w:r>
      <w:hyperlink w:history="0" r:id="rId14" w:tooltip="Распоряжение Правительства Тульской области от 22.09.2025 N 412-р (ред. от 11.03.2026) &quot;Об утверждении прогноза социально-экономического развития Тульской области на долгосрочный период до 2042 года&quot; {КонсультантПлюс}">
        <w:r>
          <w:rPr>
            <w:sz w:val="20"/>
            <w:color w:val="0000ff"/>
          </w:rPr>
          <w:t xml:space="preserve">распоряжение</w:t>
        </w:r>
      </w:hyperlink>
      <w:r>
        <w:rPr>
          <w:sz w:val="20"/>
        </w:rPr>
        <w:t xml:space="preserve"> Правительства Тульской области от 22.09.2025 N 412-р "Об утверждении прогноза социально-экономического развития Тульской области на долгосрочный период до 2042 года".</w:t>
      </w:r>
    </w:p>
    <w:p>
      <w:pPr>
        <w:pStyle w:val="0"/>
      </w:pPr>
      <w:r>
        <w:rPr>
          <w:sz w:val="20"/>
        </w:rPr>
      </w:r>
    </w:p>
    <w:p>
      <w:pPr>
        <w:pStyle w:val="2"/>
        <w:outlineLvl w:val="1"/>
        <w:jc w:val="center"/>
      </w:pPr>
      <w:r>
        <w:rPr>
          <w:sz w:val="20"/>
        </w:rPr>
        <w:t xml:space="preserve">Раздел 4. Основные направления развития человеческого</w:t>
      </w:r>
    </w:p>
    <w:p>
      <w:pPr>
        <w:pStyle w:val="2"/>
        <w:jc w:val="center"/>
      </w:pPr>
      <w:r>
        <w:rPr>
          <w:sz w:val="20"/>
        </w:rPr>
        <w:t xml:space="preserve">капитала и социальной сферы Тульской области</w:t>
      </w:r>
    </w:p>
    <w:p>
      <w:pPr>
        <w:pStyle w:val="0"/>
      </w:pPr>
      <w:r>
        <w:rPr>
          <w:sz w:val="20"/>
        </w:rPr>
      </w:r>
    </w:p>
    <w:p>
      <w:pPr>
        <w:pStyle w:val="0"/>
        <w:ind w:firstLine="540"/>
        <w:jc w:val="both"/>
      </w:pPr>
      <w:r>
        <w:rPr>
          <w:sz w:val="20"/>
        </w:rPr>
        <w:t xml:space="preserve">Тульская область стабильно входит в число регионов с высокими показателями рейтингов уровня и качества жизни (рейтинг автономной некоммерческой организации "Агентство стратегических инициатив по продвижению новых проектов" - 8 место в 2024 году, рейтинг Российского информационного агентства - 14 место в 2024 году). Среди субъектов ЦФО в 2024 году Тульская область по качеству жизни уступала только городу Москве и Московской области.</w:t>
      </w:r>
    </w:p>
    <w:p>
      <w:pPr>
        <w:pStyle w:val="0"/>
        <w:spacing w:before="200" w:lineRule="auto"/>
        <w:ind w:firstLine="540"/>
        <w:jc w:val="both"/>
      </w:pPr>
      <w:r>
        <w:rPr>
          <w:sz w:val="20"/>
        </w:rPr>
        <w:t xml:space="preserve">Вместе с тем, повышение уровня и качества жизни населения Тульской области требует активных действий по следующим направлениям: демографическая и семейная политика; обеспечение занятости и возможность профессиональной самореализации; поддержка доходов и обеспечение материального благополучия; образование и личностное развитие; жилищные условия; благоустройство общественных территорий; развитие транспорта и дорожной инфраструктуры; спорт и физическое развитие; культура, искусство и досуг; социальная защита и обеспечение; экология, климат и качество окружающей среды; развитие системы здравоохранения и охрана здоровья; безопасность жизнедеятельности.</w:t>
      </w:r>
    </w:p>
    <w:p>
      <w:pPr>
        <w:pStyle w:val="0"/>
        <w:spacing w:before="200" w:lineRule="auto"/>
        <w:ind w:firstLine="540"/>
        <w:jc w:val="both"/>
      </w:pPr>
      <w:r>
        <w:rPr>
          <w:sz w:val="20"/>
        </w:rPr>
        <w:t xml:space="preserve">В рамках направления демографическая и семейная политика необходимо уделить внимание доступности и эффективности мер государственной поддержки семей, в том числе многодетных семей, молодых родителей. Создание современных высокопроизводительных рабочих мест с конкурентоспособным уровнем оплаты труда, минимизация безработицы, содействие предпринимательской инициативе и стимулирование самозанятости - ключевые составляющие в рамках направления обеспечения занятости и возможности профессиональной самореализации.</w:t>
      </w:r>
    </w:p>
    <w:p>
      <w:pPr>
        <w:pStyle w:val="0"/>
        <w:spacing w:before="200" w:lineRule="auto"/>
        <w:ind w:firstLine="540"/>
        <w:jc w:val="both"/>
      </w:pPr>
      <w:r>
        <w:rPr>
          <w:sz w:val="20"/>
        </w:rPr>
        <w:t xml:space="preserve">Поддержка доходов и обеспечение материального благополучия подразумевает как меры, направленные на повышение уровня доходов, так и усилия по обеспечению доступности и высокого качества потребительских товаров и услуг.</w:t>
      </w:r>
    </w:p>
    <w:p>
      <w:pPr>
        <w:pStyle w:val="0"/>
        <w:spacing w:before="200" w:lineRule="auto"/>
        <w:ind w:firstLine="540"/>
        <w:jc w:val="both"/>
      </w:pPr>
      <w:r>
        <w:rPr>
          <w:sz w:val="20"/>
        </w:rPr>
        <w:t xml:space="preserve">Уровень и качество жизни населения во многом определяются возможностями получения качественного образования и здравоохранения, что формирует набор требований к состоянию региональных систем образования и здравоохранения.</w:t>
      </w:r>
    </w:p>
    <w:p>
      <w:pPr>
        <w:pStyle w:val="0"/>
        <w:spacing w:before="200" w:lineRule="auto"/>
        <w:ind w:firstLine="540"/>
        <w:jc w:val="both"/>
      </w:pPr>
      <w:r>
        <w:rPr>
          <w:sz w:val="20"/>
        </w:rPr>
        <w:t xml:space="preserve">Отдельной важной задачей является повышение уровня оплаты труда работников социальной сферы, улучшение условий их труда.</w:t>
      </w:r>
    </w:p>
    <w:p>
      <w:pPr>
        <w:pStyle w:val="0"/>
      </w:pPr>
      <w:r>
        <w:rPr>
          <w:sz w:val="20"/>
        </w:rPr>
      </w:r>
    </w:p>
    <w:p>
      <w:pPr>
        <w:pStyle w:val="2"/>
        <w:outlineLvl w:val="2"/>
        <w:jc w:val="center"/>
      </w:pPr>
      <w:r>
        <w:rPr>
          <w:sz w:val="20"/>
        </w:rPr>
        <w:t xml:space="preserve">4.1. Создание условий, обеспечивающих рост рождаемости</w:t>
      </w:r>
    </w:p>
    <w:p>
      <w:pPr>
        <w:pStyle w:val="2"/>
        <w:jc w:val="center"/>
      </w:pPr>
      <w:r>
        <w:rPr>
          <w:sz w:val="20"/>
        </w:rPr>
        <w:t xml:space="preserve">и ожидаемой продолжительности жизни при рождении</w:t>
      </w:r>
    </w:p>
    <w:p>
      <w:pPr>
        <w:pStyle w:val="2"/>
        <w:jc w:val="center"/>
      </w:pPr>
      <w:r>
        <w:rPr>
          <w:sz w:val="20"/>
        </w:rPr>
        <w:t xml:space="preserve">на территории Тульской области</w:t>
      </w:r>
    </w:p>
    <w:p>
      <w:pPr>
        <w:pStyle w:val="0"/>
      </w:pPr>
      <w:r>
        <w:rPr>
          <w:sz w:val="20"/>
        </w:rPr>
      </w:r>
    </w:p>
    <w:p>
      <w:pPr>
        <w:pStyle w:val="0"/>
        <w:ind w:firstLine="540"/>
        <w:jc w:val="both"/>
      </w:pPr>
      <w:r>
        <w:rPr>
          <w:sz w:val="20"/>
        </w:rPr>
        <w:t xml:space="preserve">Депопуляция населения продолжает оставаться ключевой проблемой: в 1990 году в области проживало 1,86 млн. человек, в 2000 году - 1,74 млн. человек, в 2010 году - 1,56 млн. человек, в 2015 году - 1,54 млн. человек, по состоянию на 1 января 2025 года - 1,46 млн. человек. В период 2021 - 2024 годов численность населения сокращалась темпами 0,7 - 1,0% ежегодно, прежде всего, за счет естественной убыли населения, что коснулось как городского, так и сельского населения. При этом имело место снижение уровня урбанизации: за 10 лет (с 2015 по 2022 годы) он сократился с 79% до 73%, стабилизировавшись на указанном уровне в 2023 - 2024 годах.</w:t>
      </w:r>
    </w:p>
    <w:p>
      <w:pPr>
        <w:pStyle w:val="0"/>
        <w:spacing w:before="200" w:lineRule="auto"/>
        <w:ind w:firstLine="540"/>
        <w:jc w:val="both"/>
      </w:pPr>
      <w:r>
        <w:rPr>
          <w:sz w:val="20"/>
        </w:rPr>
        <w:t xml:space="preserve">Общий коэффициент рождаемости в 2024 году составил 6,0 на 1000 человек населения, что ниже среднероссийского показателя (8,4). Суммарный коэффициент рождаемости в регионе достиг 1,13 в 2024 году, отражая снижение числа рождений, особенно вторых и последующих детей. Ожидаемая продолжительность жизни при рождении выросла до 73,16 лет в 2024 году благодаря мерам по борьбе с сердечно-сосудистыми заболеваниями и улучшению медицинской помощи, но все еще отстает от национальных ориентиров. Динамика показывает положительные сдвиги: за последние пять лет смертность от основных причин снизилась на 10%, а миграционный приток частично компенсирует естественную убыль.</w:t>
      </w:r>
    </w:p>
    <w:p>
      <w:pPr>
        <w:pStyle w:val="0"/>
        <w:spacing w:before="200" w:lineRule="auto"/>
        <w:ind w:firstLine="540"/>
        <w:jc w:val="both"/>
      </w:pPr>
      <w:r>
        <w:rPr>
          <w:sz w:val="20"/>
        </w:rPr>
        <w:t xml:space="preserve">Структурные особенности включают высокий удельный вес населения в трудоспособном возрасте (около 57,1%), но с растущей долей пожилых граждан. Позитивные тренды наблюдаются в снижении младенческой смертности до 3,8 на 1000 родившихся живыми, что связано с модернизацией Государственного учреждения здравоохранения "Тульский областной перинатальный центр имени В.С. Гумилевской". Резервы развития лежат в расширении программ репродуктивного здоровья и мотивации молодых семей к раннему родительству.</w:t>
      </w:r>
    </w:p>
    <w:p>
      <w:pPr>
        <w:pStyle w:val="0"/>
        <w:spacing w:before="200" w:lineRule="auto"/>
        <w:ind w:firstLine="540"/>
        <w:jc w:val="both"/>
      </w:pPr>
      <w:r>
        <w:rPr>
          <w:sz w:val="20"/>
        </w:rPr>
        <w:t xml:space="preserve">В Тульской области реализуется региональная программа по повышению рождаемости в Тульской области на 2024 - 2030 годы, которой предусмотрены мероприятия, направленные на повышение рождаемости и поддержку семей с детьми. Проводится активная работа по реализации мер государственной поддержки: предоставление регионального материнского (семейного) капитала, пособий в связи с рождением и воспитанием детей, создание новых мест в дошкольных образовательных организациях.</w:t>
      </w:r>
    </w:p>
    <w:p>
      <w:pPr>
        <w:pStyle w:val="0"/>
        <w:spacing w:before="200" w:lineRule="auto"/>
        <w:ind w:firstLine="540"/>
        <w:jc w:val="both"/>
      </w:pPr>
      <w:r>
        <w:rPr>
          <w:sz w:val="20"/>
        </w:rPr>
        <w:t xml:space="preserve">В 2025 году введена дополнительная мера социальной поддержки - единовременная денежная выплата в размере 1,0 млн. рублей для женщин, родивших в 2025 - 2026 годы: до 25 лет второго ребенка и до 28 лет третьего ребенка, а также до 28 лет третьего и четвертого ребенка в случае рождения двойни. При этом с 2020 года за счет средств областного бюджета значительно расширены меры поддержки семей при рождении третьего и последующих детей: увеличен размер регионального материнского капитала до 150,0 тыс. рублей многодетным семьям, взамен предоставления земельного участка в собственность бесплатно предоставляется единовременная денежная компенсация в размере 200,0 тыс. рублей с целевым направлением на улучшение жилищных условий.</w:t>
      </w:r>
    </w:p>
    <w:p>
      <w:pPr>
        <w:pStyle w:val="0"/>
        <w:spacing w:before="200" w:lineRule="auto"/>
        <w:ind w:firstLine="540"/>
        <w:jc w:val="both"/>
      </w:pPr>
      <w:r>
        <w:rPr>
          <w:sz w:val="20"/>
        </w:rPr>
        <w:t xml:space="preserve">Кроме того, ряд дополнительных мер социальной поддержки введен в действие </w:t>
      </w:r>
      <w:hyperlink w:history="0" r:id="rId15" w:tooltip="Постановление Правительства Тульской области от 16.12.2024 N 666 (ред. от 20.03.2026) &quot;Об установлении дополнительных мер социальной поддержки, направленных на повышение рождаемости в Тульской области&quot; {КонсультантПлюс}">
        <w:r>
          <w:rPr>
            <w:sz w:val="20"/>
            <w:color w:val="0000ff"/>
          </w:rPr>
          <w:t xml:space="preserve">Постановлением</w:t>
        </w:r>
      </w:hyperlink>
      <w:r>
        <w:rPr>
          <w:sz w:val="20"/>
        </w:rPr>
        <w:t xml:space="preserve"> Правительства Тульской области от 16.12.2024 N 666 "Об установлении дополнительных мер социальной поддержки, направленных на повышение рождаемости в Тульской области".</w:t>
      </w:r>
    </w:p>
    <w:p>
      <w:pPr>
        <w:pStyle w:val="0"/>
        <w:spacing w:before="200" w:lineRule="auto"/>
        <w:ind w:firstLine="540"/>
        <w:jc w:val="both"/>
      </w:pPr>
      <w:r>
        <w:rPr>
          <w:sz w:val="20"/>
        </w:rPr>
        <w:t xml:space="preserve">Разработан и введен в действие региональный демографический стандарт, который представляет собой комплекс современных практик и мероприятий, встроенных в систему управления предприятиями. Основная цель - создание экономических, социальных и психологически комфортных условий для наиболее оптимального совмещения работниками профессиональной деятельности и семейных обязанностей, укрепление института семьи, сохранение семейных и корпоративных традиций. Кроме того, применение стандарта будет способствовать повышению производительности труда, снижению текучести кадров и сохранению целостности трудовых коллективов.</w:t>
      </w:r>
    </w:p>
    <w:p>
      <w:pPr>
        <w:pStyle w:val="0"/>
        <w:spacing w:before="200" w:lineRule="auto"/>
        <w:ind w:firstLine="540"/>
        <w:jc w:val="both"/>
      </w:pPr>
      <w:r>
        <w:rPr>
          <w:sz w:val="20"/>
        </w:rPr>
        <w:t xml:space="preserve">Стратегическая цель демографического развития - снижение темпов депопуляции населения; увеличение числа родившихся и уменьшение смертности населения, в том числе смертности населения в трудоспособном возрасте; укрепление института семьи и продвижение семейных ценностей; повышение ожидаемой продолжительности жизни при рождении и продолжительности здоровой жизни.</w:t>
      </w:r>
    </w:p>
    <w:p>
      <w:pPr>
        <w:pStyle w:val="0"/>
        <w:spacing w:before="200" w:lineRule="auto"/>
        <w:ind w:firstLine="540"/>
        <w:jc w:val="both"/>
      </w:pPr>
      <w:r>
        <w:rPr>
          <w:sz w:val="20"/>
        </w:rPr>
        <w:t xml:space="preserve">В рамках достижения стратегической цели планируется решить следующие задачи:</w:t>
      </w:r>
    </w:p>
    <w:p>
      <w:pPr>
        <w:pStyle w:val="0"/>
        <w:spacing w:before="200" w:lineRule="auto"/>
        <w:ind w:firstLine="540"/>
        <w:jc w:val="both"/>
      </w:pPr>
      <w:r>
        <w:rPr>
          <w:sz w:val="20"/>
        </w:rPr>
        <w:t xml:space="preserve">обеспечение максимально высокого коэффициента рождаемости, в том числе за счет увеличения количества рожденных детей на одну женщину;</w:t>
      </w:r>
    </w:p>
    <w:p>
      <w:pPr>
        <w:pStyle w:val="0"/>
        <w:spacing w:before="200" w:lineRule="auto"/>
        <w:ind w:firstLine="540"/>
        <w:jc w:val="both"/>
      </w:pPr>
      <w:r>
        <w:rPr>
          <w:sz w:val="20"/>
        </w:rPr>
        <w:t xml:space="preserve">продление репродуктивного возраста, сокращение количества абортов, сокращение возраста рождения первого ребенка, увеличение охвата нуждающихся пожилых граждан и инвалидов долговременным уходом, вовлечение граждан старшего поколения в региональную </w:t>
      </w:r>
      <w:hyperlink w:history="0" r:id="rId16" w:tooltip="Постановление Правительства Тульской области от 29.01.2025 N 42 (ред. от 17.07.2026) &quot;Об утверждении Региональной программы &quot;Активное долголетие&quot; в Тульской области на 2025 - 2030 годы&quot; {КонсультантПлюс}">
        <w:r>
          <w:rPr>
            <w:sz w:val="20"/>
            <w:color w:val="0000ff"/>
          </w:rPr>
          <w:t xml:space="preserve">программу</w:t>
        </w:r>
      </w:hyperlink>
      <w:r>
        <w:rPr>
          <w:sz w:val="20"/>
        </w:rPr>
        <w:t xml:space="preserve"> "Активное долголетие";</w:t>
      </w:r>
    </w:p>
    <w:p>
      <w:pPr>
        <w:pStyle w:val="0"/>
        <w:spacing w:before="200" w:lineRule="auto"/>
        <w:ind w:firstLine="540"/>
        <w:jc w:val="both"/>
      </w:pPr>
      <w:r>
        <w:rPr>
          <w:sz w:val="20"/>
        </w:rPr>
        <w:t xml:space="preserve">предоставление мер социальной поддержки семьям с детьми, специальных дополнительных мер поддержки наиболее нуждающимся семьям, в том числе молодым и многодетным семьям;</w:t>
      </w:r>
    </w:p>
    <w:p>
      <w:pPr>
        <w:pStyle w:val="0"/>
        <w:spacing w:before="200" w:lineRule="auto"/>
        <w:ind w:firstLine="540"/>
        <w:jc w:val="both"/>
      </w:pPr>
      <w:r>
        <w:rPr>
          <w:sz w:val="20"/>
        </w:rPr>
        <w:t xml:space="preserve">развитие инфраструктуры образовательных организаций.</w:t>
      </w:r>
    </w:p>
    <w:p>
      <w:pPr>
        <w:pStyle w:val="0"/>
        <w:spacing w:before="200" w:lineRule="auto"/>
        <w:ind w:firstLine="540"/>
        <w:jc w:val="both"/>
      </w:pPr>
      <w:r>
        <w:rPr>
          <w:sz w:val="20"/>
        </w:rPr>
        <w:t xml:space="preserve">Основные меры, направленные на создание условий, обеспечивающих рост рождаемости и ожидаемой продолжительности жизни при рождении на территории Тульской области:</w:t>
      </w:r>
    </w:p>
    <w:p>
      <w:pPr>
        <w:pStyle w:val="0"/>
        <w:spacing w:before="200" w:lineRule="auto"/>
        <w:ind w:firstLine="540"/>
        <w:jc w:val="both"/>
      </w:pPr>
      <w:r>
        <w:rPr>
          <w:sz w:val="20"/>
        </w:rPr>
        <w:t xml:space="preserve">предоставление областного материнского (семейного) капитала при рождении третьего и (или) последующих детей;</w:t>
      </w:r>
    </w:p>
    <w:p>
      <w:pPr>
        <w:pStyle w:val="0"/>
        <w:spacing w:before="200" w:lineRule="auto"/>
        <w:ind w:firstLine="540"/>
        <w:jc w:val="both"/>
      </w:pPr>
      <w:r>
        <w:rPr>
          <w:sz w:val="20"/>
        </w:rPr>
        <w:t xml:space="preserve">предоставление единовременной выплаты одному из родителей при рождении ребенка после 31 декабря 2022 года и государственной регистрации его рождения на территории Тульской области;</w:t>
      </w:r>
    </w:p>
    <w:p>
      <w:pPr>
        <w:pStyle w:val="0"/>
        <w:spacing w:before="200" w:lineRule="auto"/>
        <w:ind w:firstLine="540"/>
        <w:jc w:val="both"/>
      </w:pPr>
      <w:r>
        <w:rPr>
          <w:sz w:val="20"/>
        </w:rPr>
        <w:t xml:space="preserve">проведение работы по профилактика абортов, отказов от новорожденных, охрана репродуктивного здоровья и укрепление института семьи;</w:t>
      </w:r>
    </w:p>
    <w:p>
      <w:pPr>
        <w:pStyle w:val="0"/>
        <w:spacing w:before="200" w:lineRule="auto"/>
        <w:ind w:firstLine="540"/>
        <w:jc w:val="both"/>
      </w:pPr>
      <w:r>
        <w:rPr>
          <w:sz w:val="20"/>
        </w:rPr>
        <w:t xml:space="preserve">проведение совместных консультации специалистами учреждений здравоохранения, социальной защиты населения, индивидуальное сопровождение семьи в целях повышения эффективности работы с женщинами, находящимися в ситуации репродуктивного выбора;</w:t>
      </w:r>
    </w:p>
    <w:p>
      <w:pPr>
        <w:pStyle w:val="0"/>
        <w:spacing w:before="200" w:lineRule="auto"/>
        <w:ind w:firstLine="540"/>
        <w:jc w:val="both"/>
      </w:pPr>
      <w:r>
        <w:rPr>
          <w:sz w:val="20"/>
        </w:rPr>
        <w:t xml:space="preserve">дооснащение и переоснащение медицинскими изделиями Государственного учреждения здравоохранения "Тульский областной перинатальный центр имени В.С. Гумилевской";</w:t>
      </w:r>
    </w:p>
    <w:p>
      <w:pPr>
        <w:pStyle w:val="0"/>
        <w:spacing w:before="200" w:lineRule="auto"/>
        <w:ind w:firstLine="540"/>
        <w:jc w:val="both"/>
      </w:pPr>
      <w:r>
        <w:rPr>
          <w:sz w:val="20"/>
        </w:rPr>
        <w:t xml:space="preserve">обеспечение реализации прав семей Тульской области на меры социальной поддержки, социальные пособия, гарантии и компенсации, установленные федеральным и региональным законодательством;</w:t>
      </w:r>
    </w:p>
    <w:p>
      <w:pPr>
        <w:pStyle w:val="0"/>
        <w:spacing w:before="200" w:lineRule="auto"/>
        <w:ind w:firstLine="540"/>
        <w:jc w:val="both"/>
      </w:pPr>
      <w:r>
        <w:rPr>
          <w:sz w:val="20"/>
        </w:rPr>
        <w:t xml:space="preserve">развитие мер социальной поддержки по улучшению жилищных условий многодетных семей;</w:t>
      </w:r>
    </w:p>
    <w:p>
      <w:pPr>
        <w:pStyle w:val="0"/>
        <w:spacing w:before="200" w:lineRule="auto"/>
        <w:ind w:firstLine="540"/>
        <w:jc w:val="both"/>
      </w:pPr>
      <w:r>
        <w:rPr>
          <w:sz w:val="20"/>
        </w:rPr>
        <w:t xml:space="preserve">проведение социологических исследований для определения репродуктивных планов населения Тульской области и факторов, препятствующих их осуществлению.</w:t>
      </w:r>
    </w:p>
    <w:p>
      <w:pPr>
        <w:pStyle w:val="0"/>
      </w:pPr>
      <w:r>
        <w:rPr>
          <w:sz w:val="20"/>
        </w:rPr>
      </w:r>
    </w:p>
    <w:p>
      <w:pPr>
        <w:pStyle w:val="2"/>
        <w:outlineLvl w:val="2"/>
        <w:jc w:val="center"/>
      </w:pPr>
      <w:r>
        <w:rPr>
          <w:sz w:val="20"/>
        </w:rPr>
        <w:t xml:space="preserve">4.2. Снижение смертности</w:t>
      </w:r>
    </w:p>
    <w:p>
      <w:pPr>
        <w:pStyle w:val="0"/>
      </w:pPr>
      <w:r>
        <w:rPr>
          <w:sz w:val="20"/>
        </w:rPr>
      </w:r>
    </w:p>
    <w:p>
      <w:pPr>
        <w:pStyle w:val="0"/>
        <w:ind w:firstLine="540"/>
        <w:jc w:val="both"/>
      </w:pPr>
      <w:r>
        <w:rPr>
          <w:sz w:val="20"/>
        </w:rPr>
        <w:t xml:space="preserve">Тульская область сталкивается с проблемой повышенной смертности среди населения, особенно в сельской местности и отдаленных районах.</w:t>
      </w:r>
    </w:p>
    <w:p>
      <w:pPr>
        <w:pStyle w:val="0"/>
        <w:spacing w:before="200" w:lineRule="auto"/>
        <w:ind w:firstLine="540"/>
        <w:jc w:val="both"/>
      </w:pPr>
      <w:r>
        <w:rPr>
          <w:sz w:val="20"/>
        </w:rPr>
        <w:t xml:space="preserve">Между тем, ситуация характеризуется положительной динамикой: в 2023 году общий коэффициент смертности составил 15,2 на 1000 человек населения, или на 8,4% ниже уровня 2022 года (16,6), что связано с реализацией мер по профилактике заболеваний и повышению безопасности жизнедеятельности. Наблюдается устойчивое снижение смертности от основных причин, таких как болезни системы кровообращения и новообразования, благодаря внедрению программ диспансеризации и ранней диагностики. Структурные особенности региона, включая промышленный характер экономики и урбанизированное расселение, способствуют позитивным трендам: доступность медицинских услуг в крупных городах, таких как Тула и Новомосковск, выше среднероссийского уровня. Конкурентные преимущества включают развитую сеть медицинских учреждений и программы профилактики, что позволяет сравнивать регион с лидерами ЦФО. Однако внешние факторы, такие как травматизм и транспортные происшествия, все еще влияют на общий коэффициент смертности.</w:t>
      </w:r>
    </w:p>
    <w:p>
      <w:pPr>
        <w:pStyle w:val="0"/>
        <w:spacing w:before="200" w:lineRule="auto"/>
        <w:ind w:firstLine="540"/>
        <w:jc w:val="both"/>
      </w:pPr>
      <w:r>
        <w:rPr>
          <w:sz w:val="20"/>
        </w:rPr>
        <w:t xml:space="preserve">Стратегическая цель - снижение общей смертности населения Тульской области путем повышения доступности качественной медицинской помощи, улучшения профилактических мероприятий и укрепления инфраструктуры здравоохранения, а также за счет обеспечения безопасности жизнедеятельности.</w:t>
      </w:r>
    </w:p>
    <w:p>
      <w:pPr>
        <w:pStyle w:val="0"/>
        <w:spacing w:before="200" w:lineRule="auto"/>
        <w:ind w:firstLine="540"/>
        <w:jc w:val="both"/>
      </w:pPr>
      <w:r>
        <w:rPr>
          <w:sz w:val="20"/>
        </w:rPr>
        <w:t xml:space="preserve">Стратегическое видение предполагает комплексный подход, сочетающий развитие здравоохранения с мерами по предотвращению несчастных случаев.</w:t>
      </w:r>
    </w:p>
    <w:p>
      <w:pPr>
        <w:pStyle w:val="0"/>
        <w:spacing w:before="200" w:lineRule="auto"/>
        <w:ind w:firstLine="540"/>
        <w:jc w:val="both"/>
      </w:pPr>
      <w:r>
        <w:rPr>
          <w:sz w:val="20"/>
        </w:rPr>
        <w:t xml:space="preserve">В рамках достижения стратегической цели планируется решить следующие задачи:</w:t>
      </w:r>
    </w:p>
    <w:p>
      <w:pPr>
        <w:pStyle w:val="0"/>
        <w:spacing w:before="200" w:lineRule="auto"/>
        <w:ind w:firstLine="540"/>
        <w:jc w:val="both"/>
      </w:pPr>
      <w:r>
        <w:rPr>
          <w:sz w:val="20"/>
        </w:rPr>
        <w:t xml:space="preserve">проведение комплекса мероприятий, направленных на снижение смертности как по естественным причинам, так и из-за несчастных случаев;</w:t>
      </w:r>
    </w:p>
    <w:p>
      <w:pPr>
        <w:pStyle w:val="0"/>
        <w:spacing w:before="200" w:lineRule="auto"/>
        <w:ind w:firstLine="540"/>
        <w:jc w:val="both"/>
      </w:pPr>
      <w:r>
        <w:rPr>
          <w:sz w:val="20"/>
        </w:rPr>
        <w:t xml:space="preserve">модернизация первичного звена здравоохранения;</w:t>
      </w:r>
    </w:p>
    <w:p>
      <w:pPr>
        <w:pStyle w:val="0"/>
        <w:spacing w:before="200" w:lineRule="auto"/>
        <w:ind w:firstLine="540"/>
        <w:jc w:val="both"/>
      </w:pPr>
      <w:r>
        <w:rPr>
          <w:sz w:val="20"/>
        </w:rPr>
        <w:t xml:space="preserve">повышение информированности населения о рисках возникновения заболеваний и мерах их предотвращения;</w:t>
      </w:r>
    </w:p>
    <w:p>
      <w:pPr>
        <w:pStyle w:val="0"/>
        <w:spacing w:before="200" w:lineRule="auto"/>
        <w:ind w:firstLine="540"/>
        <w:jc w:val="both"/>
      </w:pPr>
      <w:r>
        <w:rPr>
          <w:sz w:val="20"/>
        </w:rPr>
        <w:t xml:space="preserve">обеспечение эффективного взаимодействия медицинских организаций разного уровня.</w:t>
      </w:r>
    </w:p>
    <w:p>
      <w:pPr>
        <w:pStyle w:val="0"/>
        <w:spacing w:before="200" w:lineRule="auto"/>
        <w:ind w:firstLine="540"/>
        <w:jc w:val="both"/>
      </w:pPr>
      <w:r>
        <w:rPr>
          <w:sz w:val="20"/>
        </w:rPr>
        <w:t xml:space="preserve">Основные меры, направленные на снижение смертности в Тульской области:</w:t>
      </w:r>
    </w:p>
    <w:p>
      <w:pPr>
        <w:pStyle w:val="0"/>
        <w:spacing w:before="200" w:lineRule="auto"/>
        <w:ind w:firstLine="540"/>
        <w:jc w:val="both"/>
      </w:pPr>
      <w:r>
        <w:rPr>
          <w:sz w:val="20"/>
        </w:rPr>
        <w:t xml:space="preserve">мониторинг демографической ситуации с целью определения причин смерти, в наибольшей степени воздействующих на уровень смертности, и разработка мероприятий по снижению смертности от этих причин;</w:t>
      </w:r>
    </w:p>
    <w:p>
      <w:pPr>
        <w:pStyle w:val="0"/>
        <w:spacing w:before="200" w:lineRule="auto"/>
        <w:ind w:firstLine="540"/>
        <w:jc w:val="both"/>
      </w:pPr>
      <w:r>
        <w:rPr>
          <w:sz w:val="20"/>
        </w:rPr>
        <w:t xml:space="preserve">проведение информационно-профилактической работы по вопросам формирования здорового образа жизни;</w:t>
      </w:r>
    </w:p>
    <w:p>
      <w:pPr>
        <w:pStyle w:val="0"/>
        <w:spacing w:before="200" w:lineRule="auto"/>
        <w:ind w:firstLine="540"/>
        <w:jc w:val="both"/>
      </w:pPr>
      <w:r>
        <w:rPr>
          <w:sz w:val="20"/>
        </w:rPr>
        <w:t xml:space="preserve">противодействие сбыту фальсифицированного алкоголя;</w:t>
      </w:r>
    </w:p>
    <w:p>
      <w:pPr>
        <w:pStyle w:val="0"/>
        <w:spacing w:before="200" w:lineRule="auto"/>
        <w:ind w:firstLine="540"/>
        <w:jc w:val="both"/>
      </w:pPr>
      <w:r>
        <w:rPr>
          <w:sz w:val="20"/>
        </w:rPr>
        <w:t xml:space="preserve">профилактика атеросклеротической болезни сердца и атеросклероза, принятие дополнительных мер для борьбы с этими заболеваниями;</w:t>
      </w:r>
    </w:p>
    <w:p>
      <w:pPr>
        <w:pStyle w:val="0"/>
        <w:spacing w:before="200" w:lineRule="auto"/>
        <w:ind w:firstLine="540"/>
        <w:jc w:val="both"/>
      </w:pPr>
      <w:r>
        <w:rPr>
          <w:sz w:val="20"/>
        </w:rPr>
        <w:t xml:space="preserve">профилактика сахарного диабета, принятие дополнительных мер для борьбы с ним;</w:t>
      </w:r>
    </w:p>
    <w:p>
      <w:pPr>
        <w:pStyle w:val="0"/>
        <w:spacing w:before="200" w:lineRule="auto"/>
        <w:ind w:firstLine="540"/>
        <w:jc w:val="both"/>
      </w:pPr>
      <w:r>
        <w:rPr>
          <w:sz w:val="20"/>
        </w:rPr>
        <w:t xml:space="preserve">усиление работы по снижению числа дорожно-транспортных происшествий;</w:t>
      </w:r>
    </w:p>
    <w:p>
      <w:pPr>
        <w:pStyle w:val="0"/>
        <w:spacing w:before="200" w:lineRule="auto"/>
        <w:ind w:firstLine="540"/>
        <w:jc w:val="both"/>
      </w:pPr>
      <w:r>
        <w:rPr>
          <w:sz w:val="20"/>
        </w:rPr>
        <w:t xml:space="preserve">повышение доступности и качества медицинской помощи больным с онкологическими заболеваниями;</w:t>
      </w:r>
    </w:p>
    <w:p>
      <w:pPr>
        <w:pStyle w:val="0"/>
        <w:spacing w:before="200" w:lineRule="auto"/>
        <w:ind w:firstLine="540"/>
        <w:jc w:val="both"/>
      </w:pPr>
      <w:r>
        <w:rPr>
          <w:sz w:val="20"/>
        </w:rPr>
        <w:t xml:space="preserve">улучшение инфраструктуры и материально-технической базы учреждений здравоохранения, оказывающих онкологическую помощь;</w:t>
      </w:r>
    </w:p>
    <w:p>
      <w:pPr>
        <w:pStyle w:val="0"/>
        <w:spacing w:before="200" w:lineRule="auto"/>
        <w:ind w:firstLine="540"/>
        <w:jc w:val="both"/>
      </w:pPr>
      <w:r>
        <w:rPr>
          <w:sz w:val="20"/>
        </w:rPr>
        <w:t xml:space="preserve">совершенствование оказания медицинской помощи женщинам и новорожденным в критических состояниях, в том числе при ранних и сверхранних преждевременных родах;</w:t>
      </w:r>
    </w:p>
    <w:p>
      <w:pPr>
        <w:pStyle w:val="0"/>
        <w:spacing w:before="200" w:lineRule="auto"/>
        <w:ind w:firstLine="540"/>
        <w:jc w:val="both"/>
      </w:pPr>
      <w:r>
        <w:rPr>
          <w:sz w:val="20"/>
        </w:rPr>
        <w:t xml:space="preserve">проведение социологических исследований для определения степени информированности населения по вопросам здорового образа жизни и профилактики заболеваний.</w:t>
      </w:r>
    </w:p>
    <w:p>
      <w:pPr>
        <w:pStyle w:val="0"/>
      </w:pPr>
      <w:r>
        <w:rPr>
          <w:sz w:val="20"/>
        </w:rPr>
      </w:r>
    </w:p>
    <w:p>
      <w:pPr>
        <w:pStyle w:val="2"/>
        <w:outlineLvl w:val="2"/>
        <w:jc w:val="center"/>
      </w:pPr>
      <w:r>
        <w:rPr>
          <w:sz w:val="20"/>
        </w:rPr>
        <w:t xml:space="preserve">4.3. Рост продолжительности жизни,</w:t>
      </w:r>
    </w:p>
    <w:p>
      <w:pPr>
        <w:pStyle w:val="2"/>
        <w:jc w:val="center"/>
      </w:pPr>
      <w:r>
        <w:rPr>
          <w:sz w:val="20"/>
        </w:rPr>
        <w:t xml:space="preserve">в том числе активной жизни</w:t>
      </w:r>
    </w:p>
    <w:p>
      <w:pPr>
        <w:pStyle w:val="0"/>
      </w:pPr>
      <w:r>
        <w:rPr>
          <w:sz w:val="20"/>
        </w:rPr>
      </w:r>
    </w:p>
    <w:p>
      <w:pPr>
        <w:pStyle w:val="0"/>
        <w:ind w:firstLine="540"/>
        <w:jc w:val="both"/>
      </w:pPr>
      <w:r>
        <w:rPr>
          <w:sz w:val="20"/>
        </w:rPr>
        <w:t xml:space="preserve">Продолжительность жизни населения Тульской области демонстрирует положительную динамику, однако отставание от средних значений по Российской Федерации сохраняется. По данным Федеральной службы государственной статистики (далее - Росстат) на 2023 год ожидаемая продолжительность жизни при рождении в Тульской области составила 72,15 года, что на 1,26 года ниже среднероссийского уровня (73,41 года). С 2019 года показатель вырос на 2,1 года, в основном за счет снижения смертности от сердечно-сосудистых заболеваний и внешних причин. По ЦФО Тульская область уступает Москве и Московской области. Структурные особенности включают высокий удельный вес пожилого населения (28% от общей численности), что усиливает роль факторов, влияющих на активную жизнь: уровень физической активности среди лиц старше 60 лет составляет около 25%, а занятость в этой группе - не более 15%. Позитивные тенденции наблюдаются в развитии программ здорового образа жизни, таких как региональные инициативы по диспансеризации, охватывающие ежегодно свыше 300 тыс. человек, и рост числа "серебряных" волонтеров, превысившего 5 тыс. человек в 2024 году. Резервы развития кроются в интеграции медицинских, социальных и образовательных услуг, что позволит повысить качество жизни пожилых жителей.</w:t>
      </w:r>
    </w:p>
    <w:p>
      <w:pPr>
        <w:pStyle w:val="0"/>
        <w:spacing w:before="200" w:lineRule="auto"/>
        <w:ind w:firstLine="540"/>
        <w:jc w:val="both"/>
      </w:pPr>
      <w:r>
        <w:rPr>
          <w:sz w:val="20"/>
        </w:rPr>
        <w:t xml:space="preserve">Вместе с тем наблюдаются различия в уровнях долголетия и качества жизни в муниципальных образованиях, что свидетельствует о необходимости системных мер по выравниванию этих различий.</w:t>
      </w:r>
    </w:p>
    <w:p>
      <w:pPr>
        <w:pStyle w:val="0"/>
        <w:spacing w:before="200" w:lineRule="auto"/>
        <w:ind w:firstLine="540"/>
        <w:jc w:val="both"/>
      </w:pPr>
      <w:r>
        <w:rPr>
          <w:sz w:val="20"/>
        </w:rPr>
        <w:t xml:space="preserve">Стратегическая цель - увеличение продолжительности жизни населения Тульской области, повышение качества жизни и увеличение периода активной жизни.</w:t>
      </w:r>
    </w:p>
    <w:p>
      <w:pPr>
        <w:pStyle w:val="0"/>
        <w:spacing w:before="200" w:lineRule="auto"/>
        <w:ind w:firstLine="540"/>
        <w:jc w:val="both"/>
      </w:pPr>
      <w:r>
        <w:rPr>
          <w:sz w:val="20"/>
        </w:rPr>
        <w:t xml:space="preserve">Достижению поставленной цели будет способствовать решение следующих задач:</w:t>
      </w:r>
    </w:p>
    <w:p>
      <w:pPr>
        <w:pStyle w:val="0"/>
        <w:spacing w:before="200" w:lineRule="auto"/>
        <w:ind w:firstLine="540"/>
        <w:jc w:val="both"/>
      </w:pPr>
      <w:r>
        <w:rPr>
          <w:sz w:val="20"/>
        </w:rPr>
        <w:t xml:space="preserve">повышение доступности медицинской помощи, внедрение современных методов диагностики и лечения;</w:t>
      </w:r>
    </w:p>
    <w:p>
      <w:pPr>
        <w:pStyle w:val="0"/>
        <w:spacing w:before="200" w:lineRule="auto"/>
        <w:ind w:firstLine="540"/>
        <w:jc w:val="both"/>
      </w:pPr>
      <w:r>
        <w:rPr>
          <w:sz w:val="20"/>
        </w:rPr>
        <w:t xml:space="preserve">активное развитие физкультуры и спорта, пропаганда здорового питания и отказа от вредных привычек;</w:t>
      </w:r>
    </w:p>
    <w:p>
      <w:pPr>
        <w:pStyle w:val="0"/>
        <w:spacing w:before="200" w:lineRule="auto"/>
        <w:ind w:firstLine="540"/>
        <w:jc w:val="both"/>
      </w:pPr>
      <w:r>
        <w:rPr>
          <w:sz w:val="20"/>
        </w:rPr>
        <w:t xml:space="preserve">экологический мониторинг, очистка водоемов и озеленение населенных пунктов;</w:t>
      </w:r>
    </w:p>
    <w:p>
      <w:pPr>
        <w:pStyle w:val="0"/>
        <w:spacing w:before="200" w:lineRule="auto"/>
        <w:ind w:firstLine="540"/>
        <w:jc w:val="both"/>
      </w:pPr>
      <w:r>
        <w:rPr>
          <w:sz w:val="20"/>
        </w:rPr>
        <w:t xml:space="preserve">создание доступной среды, программы поддержки долгожительства и медицинского обслуживания пожилых людей;</w:t>
      </w:r>
    </w:p>
    <w:p>
      <w:pPr>
        <w:pStyle w:val="0"/>
        <w:spacing w:before="200" w:lineRule="auto"/>
        <w:ind w:firstLine="540"/>
        <w:jc w:val="both"/>
      </w:pPr>
      <w:r>
        <w:rPr>
          <w:sz w:val="20"/>
        </w:rPr>
        <w:t xml:space="preserve">развитие просветительских программ, распространение знаний о факторах, влияющих на продолжительность жизни.</w:t>
      </w:r>
    </w:p>
    <w:p>
      <w:pPr>
        <w:pStyle w:val="0"/>
        <w:spacing w:before="200" w:lineRule="auto"/>
        <w:ind w:firstLine="540"/>
        <w:jc w:val="both"/>
      </w:pPr>
      <w:r>
        <w:rPr>
          <w:sz w:val="20"/>
        </w:rPr>
        <w:t xml:space="preserve">Основные меры, направленные на обеспечение роста продолжительности жизни, в том числе активной жизни:</w:t>
      </w:r>
    </w:p>
    <w:p>
      <w:pPr>
        <w:pStyle w:val="0"/>
        <w:spacing w:before="200" w:lineRule="auto"/>
        <w:ind w:firstLine="540"/>
        <w:jc w:val="both"/>
      </w:pPr>
      <w:r>
        <w:rPr>
          <w:sz w:val="20"/>
        </w:rPr>
        <w:t xml:space="preserve">повышение квалификации врачей, обновление медицинского оборудования, внедрение телемедицины;</w:t>
      </w:r>
    </w:p>
    <w:p>
      <w:pPr>
        <w:pStyle w:val="0"/>
        <w:spacing w:before="200" w:lineRule="auto"/>
        <w:ind w:firstLine="540"/>
        <w:jc w:val="both"/>
      </w:pPr>
      <w:r>
        <w:rPr>
          <w:sz w:val="20"/>
        </w:rPr>
        <w:t xml:space="preserve">контроль за качеством питьевой воды, воздуха и пищевых продуктов;</w:t>
      </w:r>
    </w:p>
    <w:p>
      <w:pPr>
        <w:pStyle w:val="0"/>
        <w:spacing w:before="200" w:lineRule="auto"/>
        <w:ind w:firstLine="540"/>
        <w:jc w:val="both"/>
      </w:pPr>
      <w:r>
        <w:rPr>
          <w:sz w:val="20"/>
        </w:rPr>
        <w:t xml:space="preserve">организация спортивных мероприятий, развитие массового и любительского спорта;</w:t>
      </w:r>
    </w:p>
    <w:p>
      <w:pPr>
        <w:pStyle w:val="0"/>
        <w:spacing w:before="200" w:lineRule="auto"/>
        <w:ind w:firstLine="540"/>
        <w:jc w:val="both"/>
      </w:pPr>
      <w:r>
        <w:rPr>
          <w:sz w:val="20"/>
        </w:rPr>
        <w:t xml:space="preserve">просветительские мероприятия, направленные на формирование рационального пищевого поведения;</w:t>
      </w:r>
    </w:p>
    <w:p>
      <w:pPr>
        <w:pStyle w:val="0"/>
        <w:spacing w:before="200" w:lineRule="auto"/>
        <w:ind w:firstLine="540"/>
        <w:jc w:val="both"/>
      </w:pPr>
      <w:r>
        <w:rPr>
          <w:sz w:val="20"/>
        </w:rPr>
        <w:t xml:space="preserve">психотерапевтическая помощь, создание зеленых зон отдыха, популяризация йоги и медитации;</w:t>
      </w:r>
    </w:p>
    <w:p>
      <w:pPr>
        <w:pStyle w:val="0"/>
        <w:spacing w:before="200" w:lineRule="auto"/>
        <w:ind w:firstLine="540"/>
        <w:jc w:val="both"/>
      </w:pPr>
      <w:r>
        <w:rPr>
          <w:sz w:val="20"/>
        </w:rPr>
        <w:t xml:space="preserve">специальные программы обустройства.</w:t>
      </w:r>
    </w:p>
    <w:p>
      <w:pPr>
        <w:pStyle w:val="0"/>
      </w:pPr>
      <w:r>
        <w:rPr>
          <w:sz w:val="20"/>
        </w:rPr>
      </w:r>
    </w:p>
    <w:p>
      <w:pPr>
        <w:pStyle w:val="2"/>
        <w:outlineLvl w:val="2"/>
        <w:jc w:val="center"/>
      </w:pPr>
      <w:r>
        <w:rPr>
          <w:sz w:val="20"/>
        </w:rPr>
        <w:t xml:space="preserve">4.4. Снижение уровня заболеваемости,</w:t>
      </w:r>
    </w:p>
    <w:p>
      <w:pPr>
        <w:pStyle w:val="2"/>
        <w:jc w:val="center"/>
      </w:pPr>
      <w:r>
        <w:rPr>
          <w:sz w:val="20"/>
        </w:rPr>
        <w:t xml:space="preserve">травматизма и временной нетрудоспособности</w:t>
      </w:r>
    </w:p>
    <w:p>
      <w:pPr>
        <w:pStyle w:val="0"/>
      </w:pPr>
      <w:r>
        <w:rPr>
          <w:sz w:val="20"/>
        </w:rPr>
      </w:r>
    </w:p>
    <w:p>
      <w:pPr>
        <w:pStyle w:val="0"/>
        <w:ind w:firstLine="540"/>
        <w:jc w:val="both"/>
      </w:pPr>
      <w:r>
        <w:rPr>
          <w:sz w:val="20"/>
        </w:rPr>
        <w:t xml:space="preserve">Заболеваемость и травматизм населения Тульской области сохраняют показатели ниже средних значений по Российской Федерации (в Российской Федерации 1,0 человек на тыс. работников, в Тульской области 0,9 человек на тыс. работников).</w:t>
      </w:r>
    </w:p>
    <w:p>
      <w:pPr>
        <w:pStyle w:val="0"/>
        <w:spacing w:before="200" w:lineRule="auto"/>
        <w:ind w:firstLine="540"/>
        <w:jc w:val="both"/>
      </w:pPr>
      <w:r>
        <w:rPr>
          <w:sz w:val="20"/>
        </w:rPr>
        <w:t xml:space="preserve">Согласно данным Росстата в регионе фиксируется повышенный уровень инфекционных заболеваний, хронических болезней и производственного травматизма, что оказывает отрицательное влияние на производительность труда, качество жизни населения и общие экономические показатели региона.</w:t>
      </w:r>
    </w:p>
    <w:p>
      <w:pPr>
        <w:pStyle w:val="0"/>
        <w:spacing w:before="200" w:lineRule="auto"/>
        <w:ind w:firstLine="540"/>
        <w:jc w:val="both"/>
      </w:pPr>
      <w:r>
        <w:rPr>
          <w:sz w:val="20"/>
        </w:rPr>
        <w:t xml:space="preserve">Динамика травматизма на производстве показывает снижение на 25,8% за последние пять лет. Структурные особенности включают высокий удельный вес сезонных заболеваний в осенне-зимний период, а также влияние таких факторов, как стресс и несбалансированное питание, на снижение иммунитета. Позитивные тренды проявляются в росте числа программ по закаливанию в образовательных организациях и на предприятиях, где резервы развития связаны с интеграцией цифровых технологий для мониторинга здоровья.</w:t>
      </w:r>
    </w:p>
    <w:p>
      <w:pPr>
        <w:pStyle w:val="0"/>
        <w:spacing w:before="200" w:lineRule="auto"/>
        <w:ind w:firstLine="540"/>
        <w:jc w:val="both"/>
      </w:pPr>
      <w:r>
        <w:rPr>
          <w:sz w:val="20"/>
        </w:rPr>
        <w:t xml:space="preserve">В целях предупреждения заболеваний и травматизма в Тульской области реализуются Федеральный </w:t>
      </w:r>
      <w:hyperlink w:history="0" r:id="rId17" w:tooltip="Федеральный закон от 21.11.2011 N 323-ФЗ (ред. от 04.08.2026) &quot;Об основах охраны здоровья граждан в Российской Федерации&quot; {КонсультантПлюс}">
        <w:r>
          <w:rPr>
            <w:sz w:val="20"/>
            <w:color w:val="0000ff"/>
          </w:rPr>
          <w:t xml:space="preserve">закон</w:t>
        </w:r>
      </w:hyperlink>
      <w:r>
        <w:rPr>
          <w:sz w:val="20"/>
        </w:rPr>
        <w:t xml:space="preserve"> от 21 ноября 2011 года N 323-ФЗ "Об основах охраны здоровья граждан в Российской Федерации" и региональные программы по борьбе с инфекционными заболеваниями и травматизмом. Тем не менее, сохранение неблагоприятных тенденций требует комплексного подхода и масштабных мер по улучшению здоровья населения.</w:t>
      </w:r>
    </w:p>
    <w:p>
      <w:pPr>
        <w:pStyle w:val="0"/>
        <w:spacing w:before="200" w:lineRule="auto"/>
        <w:ind w:firstLine="540"/>
        <w:jc w:val="both"/>
      </w:pPr>
      <w:r>
        <w:rPr>
          <w:sz w:val="20"/>
        </w:rPr>
        <w:t xml:space="preserve">Стратегическая цель - снижение уровня заболеваемости, травматизма и временной нетрудоспособности населения Тульской области.</w:t>
      </w:r>
    </w:p>
    <w:p>
      <w:pPr>
        <w:pStyle w:val="0"/>
        <w:spacing w:before="200" w:lineRule="auto"/>
        <w:ind w:firstLine="540"/>
        <w:jc w:val="both"/>
      </w:pPr>
      <w:r>
        <w:rPr>
          <w:sz w:val="20"/>
        </w:rPr>
        <w:t xml:space="preserve">Достижению поставленной цели будет способствовать решение ряда задач:</w:t>
      </w:r>
    </w:p>
    <w:p>
      <w:pPr>
        <w:pStyle w:val="0"/>
        <w:spacing w:before="200" w:lineRule="auto"/>
        <w:ind w:firstLine="540"/>
        <w:jc w:val="both"/>
      </w:pPr>
      <w:r>
        <w:rPr>
          <w:sz w:val="20"/>
        </w:rPr>
        <w:t xml:space="preserve">совершенствование первичной и вторичной медицинской помощи, развитие скорой помощи и экстренной хирургии;</w:t>
      </w:r>
    </w:p>
    <w:p>
      <w:pPr>
        <w:pStyle w:val="0"/>
        <w:spacing w:before="200" w:lineRule="auto"/>
        <w:ind w:firstLine="540"/>
        <w:jc w:val="both"/>
      </w:pPr>
      <w:r>
        <w:rPr>
          <w:sz w:val="20"/>
        </w:rPr>
        <w:t xml:space="preserve">вакцинация населения, дезинфекция и санитарная обработка помещений, повышение санитарной грамотности;</w:t>
      </w:r>
    </w:p>
    <w:p>
      <w:pPr>
        <w:pStyle w:val="0"/>
        <w:spacing w:before="200" w:lineRule="auto"/>
        <w:ind w:firstLine="540"/>
        <w:jc w:val="both"/>
      </w:pPr>
      <w:r>
        <w:rPr>
          <w:sz w:val="20"/>
        </w:rPr>
        <w:t xml:space="preserve">обучение правилам охраны труда, ужесточение санкций за нарушения, сертификация опасных производств;</w:t>
      </w:r>
    </w:p>
    <w:p>
      <w:pPr>
        <w:pStyle w:val="0"/>
        <w:spacing w:before="200" w:lineRule="auto"/>
        <w:ind w:firstLine="540"/>
        <w:jc w:val="both"/>
      </w:pPr>
      <w:r>
        <w:rPr>
          <w:sz w:val="20"/>
        </w:rPr>
        <w:t xml:space="preserve">развитие массового спорта, пропагандирование здорового образа жизни, проведение диспансеризации и обследования населения;</w:t>
      </w:r>
    </w:p>
    <w:p>
      <w:pPr>
        <w:pStyle w:val="0"/>
        <w:spacing w:before="200" w:lineRule="auto"/>
        <w:ind w:firstLine="540"/>
        <w:jc w:val="both"/>
      </w:pPr>
      <w:r>
        <w:rPr>
          <w:sz w:val="20"/>
        </w:rPr>
        <w:t xml:space="preserve">компенсация ущерба здоровью, юридическая помощь пострадавшим работникам, поддержка больных и временно нетрудоспособных граждан.</w:t>
      </w:r>
    </w:p>
    <w:p>
      <w:pPr>
        <w:pStyle w:val="0"/>
        <w:spacing w:before="200" w:lineRule="auto"/>
        <w:ind w:firstLine="540"/>
        <w:jc w:val="both"/>
      </w:pPr>
      <w:r>
        <w:rPr>
          <w:sz w:val="20"/>
        </w:rPr>
        <w:t xml:space="preserve">Основные меры, направленные на снижение уровня заболеваемости, травматизма и временной нетрудоспособности:</w:t>
      </w:r>
    </w:p>
    <w:p>
      <w:pPr>
        <w:pStyle w:val="0"/>
        <w:spacing w:before="200" w:lineRule="auto"/>
        <w:ind w:firstLine="540"/>
        <w:jc w:val="both"/>
      </w:pPr>
      <w:r>
        <w:rPr>
          <w:sz w:val="20"/>
        </w:rPr>
        <w:t xml:space="preserve">совершенствование алгоритмов эвакуации пострадавших, закупка спецтехники и оборудования;</w:t>
      </w:r>
    </w:p>
    <w:p>
      <w:pPr>
        <w:pStyle w:val="0"/>
        <w:spacing w:before="200" w:lineRule="auto"/>
        <w:ind w:firstLine="540"/>
        <w:jc w:val="both"/>
      </w:pPr>
      <w:r>
        <w:rPr>
          <w:sz w:val="20"/>
        </w:rPr>
        <w:t xml:space="preserve">создание центров здоровья, организация медосмотров и диспансеризации;</w:t>
      </w:r>
    </w:p>
    <w:p>
      <w:pPr>
        <w:pStyle w:val="0"/>
        <w:spacing w:before="200" w:lineRule="auto"/>
        <w:ind w:firstLine="540"/>
        <w:jc w:val="both"/>
      </w:pPr>
      <w:r>
        <w:rPr>
          <w:sz w:val="20"/>
        </w:rPr>
        <w:t xml:space="preserve">санитарно-гигиеническая аттестация рабочих мест, улучшение вентиляции и очистки воздушных масс;</w:t>
      </w:r>
    </w:p>
    <w:p>
      <w:pPr>
        <w:pStyle w:val="0"/>
        <w:spacing w:before="200" w:lineRule="auto"/>
        <w:ind w:firstLine="540"/>
        <w:jc w:val="both"/>
      </w:pPr>
      <w:r>
        <w:rPr>
          <w:sz w:val="20"/>
        </w:rPr>
        <w:t xml:space="preserve">обеспечение прививочными препаратами, вакцинация населения от особо опасных инфекций;</w:t>
      </w:r>
    </w:p>
    <w:p>
      <w:pPr>
        <w:pStyle w:val="0"/>
        <w:spacing w:before="200" w:lineRule="auto"/>
        <w:ind w:firstLine="540"/>
        <w:jc w:val="both"/>
      </w:pPr>
      <w:r>
        <w:rPr>
          <w:sz w:val="20"/>
        </w:rPr>
        <w:t xml:space="preserve">ужесточение мер против злоупотребления алкоголем и табаком, ограничение продажи спиртных напитков и сигарет;</w:t>
      </w:r>
    </w:p>
    <w:p>
      <w:pPr>
        <w:pStyle w:val="0"/>
        <w:spacing w:before="200" w:lineRule="auto"/>
        <w:ind w:firstLine="540"/>
        <w:jc w:val="both"/>
      </w:pPr>
      <w:r>
        <w:rPr>
          <w:sz w:val="20"/>
        </w:rPr>
        <w:t xml:space="preserve">массированная пропаганда здорового образа жизни, просветительские мероприятия, уроки гигиены и санитарии в школах и колледжах, информирование и пропаганда охраны труда.</w:t>
      </w:r>
    </w:p>
    <w:p>
      <w:pPr>
        <w:pStyle w:val="0"/>
      </w:pPr>
      <w:r>
        <w:rPr>
          <w:sz w:val="20"/>
        </w:rPr>
      </w:r>
    </w:p>
    <w:p>
      <w:pPr>
        <w:pStyle w:val="2"/>
        <w:outlineLvl w:val="2"/>
        <w:jc w:val="center"/>
      </w:pPr>
      <w:r>
        <w:rPr>
          <w:sz w:val="20"/>
        </w:rPr>
        <w:t xml:space="preserve">4.5. Поддержка семей</w:t>
      </w:r>
    </w:p>
    <w:p>
      <w:pPr>
        <w:pStyle w:val="0"/>
      </w:pPr>
      <w:r>
        <w:rPr>
          <w:sz w:val="20"/>
        </w:rPr>
      </w:r>
    </w:p>
    <w:p>
      <w:pPr>
        <w:pStyle w:val="0"/>
        <w:ind w:firstLine="540"/>
        <w:jc w:val="both"/>
      </w:pPr>
      <w:r>
        <w:rPr>
          <w:sz w:val="20"/>
        </w:rPr>
        <w:t xml:space="preserve">Особое внимание уделяется защите интересов семей, улучшению условий для рождения и воспитания детей, профилактике сиротства и отказов от собственных детей, а также духовно-нравственному воспитанию молодежи, формирующему здоровую семью ответственно относящейся к продолжению рода.</w:t>
      </w:r>
    </w:p>
    <w:p>
      <w:pPr>
        <w:pStyle w:val="0"/>
        <w:spacing w:before="200" w:lineRule="auto"/>
        <w:ind w:firstLine="540"/>
        <w:jc w:val="both"/>
      </w:pPr>
      <w:r>
        <w:rPr>
          <w:sz w:val="20"/>
        </w:rPr>
        <w:t xml:space="preserve">Стратегическая цель - укрепление института семьи и продвижение семейных ценностей как ключевых элементов, способствующих сохранению населения, здоровому образу жизни и повышению благополучия людей.</w:t>
      </w:r>
    </w:p>
    <w:p>
      <w:pPr>
        <w:pStyle w:val="0"/>
        <w:spacing w:before="200" w:lineRule="auto"/>
        <w:ind w:firstLine="540"/>
        <w:jc w:val="both"/>
      </w:pPr>
      <w:r>
        <w:rPr>
          <w:sz w:val="20"/>
        </w:rPr>
        <w:t xml:space="preserve">Реализация поставленной цели требует решения следующих задач:</w:t>
      </w:r>
    </w:p>
    <w:p>
      <w:pPr>
        <w:pStyle w:val="0"/>
        <w:spacing w:before="200" w:lineRule="auto"/>
        <w:ind w:firstLine="540"/>
        <w:jc w:val="both"/>
      </w:pPr>
      <w:r>
        <w:rPr>
          <w:sz w:val="20"/>
        </w:rPr>
        <w:t xml:space="preserve">создание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p>
      <w:pPr>
        <w:pStyle w:val="0"/>
        <w:spacing w:before="200" w:lineRule="auto"/>
        <w:ind w:firstLine="540"/>
        <w:jc w:val="both"/>
      </w:pPr>
      <w:r>
        <w:rPr>
          <w:sz w:val="20"/>
        </w:rPr>
        <w:t xml:space="preserve">финансовая поддержка семей при рождении детей;</w:t>
      </w:r>
    </w:p>
    <w:p>
      <w:pPr>
        <w:pStyle w:val="0"/>
        <w:spacing w:before="200" w:lineRule="auto"/>
        <w:ind w:firstLine="540"/>
        <w:jc w:val="both"/>
      </w:pPr>
      <w:r>
        <w:rPr>
          <w:sz w:val="20"/>
        </w:rPr>
        <w:t xml:space="preserve">предоставление семьям разнообразной социальной поддержки;</w:t>
      </w:r>
    </w:p>
    <w:p>
      <w:pPr>
        <w:pStyle w:val="0"/>
        <w:spacing w:before="200" w:lineRule="auto"/>
        <w:ind w:firstLine="540"/>
        <w:jc w:val="both"/>
      </w:pPr>
      <w:r>
        <w:rPr>
          <w:sz w:val="20"/>
        </w:rPr>
        <w:t xml:space="preserve">предоставление специальных дополнительных мер поддержки наиболее нуждающимся семьям, в том числе молодым и многодетным семьям;</w:t>
      </w:r>
    </w:p>
    <w:p>
      <w:pPr>
        <w:pStyle w:val="0"/>
        <w:spacing w:before="200" w:lineRule="auto"/>
        <w:ind w:firstLine="540"/>
        <w:jc w:val="both"/>
      </w:pPr>
      <w:r>
        <w:rPr>
          <w:sz w:val="20"/>
        </w:rPr>
        <w:t xml:space="preserve">развитие инфраструктуры образовательных учреждений;</w:t>
      </w:r>
    </w:p>
    <w:p>
      <w:pPr>
        <w:pStyle w:val="0"/>
        <w:spacing w:before="200" w:lineRule="auto"/>
        <w:ind w:firstLine="540"/>
        <w:jc w:val="both"/>
      </w:pPr>
      <w:r>
        <w:rPr>
          <w:sz w:val="20"/>
        </w:rPr>
        <w:t xml:space="preserve">совершенствование системы медицинского обслуживания, в том числе детской медицины;</w:t>
      </w:r>
    </w:p>
    <w:p>
      <w:pPr>
        <w:pStyle w:val="0"/>
        <w:spacing w:before="200" w:lineRule="auto"/>
        <w:ind w:firstLine="540"/>
        <w:jc w:val="both"/>
      </w:pPr>
      <w:r>
        <w:rPr>
          <w:sz w:val="20"/>
        </w:rPr>
        <w:t xml:space="preserve">обеспечение продвижения и защиты традиционных российских духовно-нравственных ценностей.</w:t>
      </w:r>
    </w:p>
    <w:p>
      <w:pPr>
        <w:pStyle w:val="0"/>
        <w:spacing w:before="200" w:lineRule="auto"/>
        <w:ind w:firstLine="540"/>
        <w:jc w:val="both"/>
      </w:pPr>
      <w:r>
        <w:rPr>
          <w:sz w:val="20"/>
        </w:rPr>
        <w:t xml:space="preserve">Мероприятия, направленные на достижение целевых показателей:</w:t>
      </w:r>
    </w:p>
    <w:p>
      <w:pPr>
        <w:pStyle w:val="0"/>
        <w:spacing w:before="200" w:lineRule="auto"/>
        <w:ind w:firstLine="540"/>
        <w:jc w:val="both"/>
      </w:pPr>
      <w:r>
        <w:rPr>
          <w:sz w:val="20"/>
        </w:rPr>
        <w:t xml:space="preserve">развитие механизма социального контракта и получения государственной социальной помощи на основании социального контракта с приоритетным предоставлением многодетным семьям (3 047 человек в 2030 году) в рамках государственной </w:t>
      </w:r>
      <w:hyperlink w:history="0" r:id="rId18" w:tooltip="Постановление правительства Тульской области от 16.02.2018 N 65 (ред. от 03.05.2023) &quot;Об утверждении государственной программы Тульской области &quot;Социальная поддержка и социальное обслуживание населения Тульской области&quot; (вместе с &quot;Составом управляющего совета государственной программы Тульской области &quot;Социальная поддержка и социальное обслуживание населения Тульской области&quot; по должностям&quot;) {КонсультантПлюс}">
        <w:r>
          <w:rPr>
            <w:sz w:val="20"/>
            <w:color w:val="0000ff"/>
          </w:rPr>
          <w:t xml:space="preserve">программы</w:t>
        </w:r>
      </w:hyperlink>
      <w:r>
        <w:rPr>
          <w:sz w:val="20"/>
        </w:rPr>
        <w:t xml:space="preserve"> "Социальная поддержка и социальное обслуживание населения Тульской области" и регионального проекта "Многодетная семья (Тульская область)";</w:t>
      </w:r>
    </w:p>
    <w:p>
      <w:pPr>
        <w:pStyle w:val="0"/>
        <w:spacing w:before="200" w:lineRule="auto"/>
        <w:ind w:firstLine="540"/>
        <w:jc w:val="both"/>
      </w:pPr>
      <w:r>
        <w:rPr>
          <w:sz w:val="20"/>
        </w:rPr>
        <w:t xml:space="preserve">реализация региональной составляющей национального проекта "Семья" путем обновления инфраструктуры детских садов, создания комфортной среды в образовательных организациях для молодых студенческих семей и матерей с детьми;</w:t>
      </w:r>
    </w:p>
    <w:p>
      <w:pPr>
        <w:pStyle w:val="0"/>
        <w:spacing w:before="200" w:lineRule="auto"/>
        <w:ind w:firstLine="540"/>
        <w:jc w:val="both"/>
      </w:pPr>
      <w:r>
        <w:rPr>
          <w:sz w:val="20"/>
        </w:rPr>
        <w:t xml:space="preserve">предоставлении многодетным семьям, проживающим на территории Тульской области, мер социальной поддержки, установленных </w:t>
      </w:r>
      <w:hyperlink w:history="0" r:id="rId19" w:tooltip="Указ Губернатора Тульской области от 18.06.2024 N 52 (ред. от 21.05.2026) &quot;О мерах социальной поддержки многодетных семей в Тульской области&quot; {КонсультантПлюс}">
        <w:r>
          <w:rPr>
            <w:sz w:val="20"/>
            <w:color w:val="0000ff"/>
          </w:rPr>
          <w:t xml:space="preserve">Указом</w:t>
        </w:r>
      </w:hyperlink>
      <w:r>
        <w:rPr>
          <w:sz w:val="20"/>
        </w:rPr>
        <w:t xml:space="preserve"> Губернатора Тульской области от 18 июня 2024 года N 52 "О мерах социальной поддержки многодетных семей в Тульской области";</w:t>
      </w:r>
    </w:p>
    <w:p>
      <w:pPr>
        <w:pStyle w:val="0"/>
        <w:spacing w:before="200" w:lineRule="auto"/>
        <w:ind w:firstLine="540"/>
        <w:jc w:val="both"/>
      </w:pPr>
      <w:r>
        <w:rPr>
          <w:sz w:val="20"/>
        </w:rPr>
        <w:t xml:space="preserve">совершенствование оказания медицинской помощи женщинам и новорожденным в критических состояниях, в том числе при ранних и сверхранних преждевременных родах;</w:t>
      </w:r>
    </w:p>
    <w:p>
      <w:pPr>
        <w:pStyle w:val="0"/>
        <w:spacing w:before="200" w:lineRule="auto"/>
        <w:ind w:firstLine="540"/>
        <w:jc w:val="both"/>
      </w:pPr>
      <w:r>
        <w:rPr>
          <w:sz w:val="20"/>
        </w:rPr>
        <w:t xml:space="preserve">проведение совместных консультаций специалистами учреждений здравоохранения, социальной защиты населения, индивидуальное сопровождение семьи в целях повышения эффективности работы с женщинами, находящимися в ситуации репродуктивного выбора;</w:t>
      </w:r>
    </w:p>
    <w:p>
      <w:pPr>
        <w:pStyle w:val="0"/>
        <w:spacing w:before="200" w:lineRule="auto"/>
        <w:ind w:firstLine="540"/>
        <w:jc w:val="both"/>
      </w:pPr>
      <w:r>
        <w:rPr>
          <w:sz w:val="20"/>
        </w:rPr>
        <w:t xml:space="preserve">дооснащение и переоснащение медицинскими изделиями Государственного учреждения здравоохранения "Тульский областной перинатальный центр имени В.С. Гумилевской";</w:t>
      </w:r>
    </w:p>
    <w:p>
      <w:pPr>
        <w:pStyle w:val="0"/>
        <w:spacing w:before="200" w:lineRule="auto"/>
        <w:ind w:firstLine="540"/>
        <w:jc w:val="both"/>
      </w:pPr>
      <w:r>
        <w:rPr>
          <w:sz w:val="20"/>
        </w:rPr>
        <w:t xml:space="preserve">дооснащение отделений реанимации для детей, в том числе для малоинвазивных технологий хирургической помощи маленьким пациентам;</w:t>
      </w:r>
    </w:p>
    <w:p>
      <w:pPr>
        <w:pStyle w:val="0"/>
        <w:spacing w:before="200" w:lineRule="auto"/>
        <w:ind w:firstLine="540"/>
        <w:jc w:val="both"/>
      </w:pPr>
      <w:r>
        <w:rPr>
          <w:sz w:val="20"/>
        </w:rPr>
        <w:t xml:space="preserve">организация выездного реанимационно-консультативного центра Государственного учреждения здравоохранения "Тульская областная детская клиническая больница";</w:t>
      </w:r>
    </w:p>
    <w:p>
      <w:pPr>
        <w:pStyle w:val="0"/>
        <w:spacing w:before="200" w:lineRule="auto"/>
        <w:ind w:firstLine="540"/>
        <w:jc w:val="both"/>
      </w:pPr>
      <w:r>
        <w:rPr>
          <w:sz w:val="20"/>
        </w:rPr>
        <w:t xml:space="preserve">создание 6 женских консультаций для оказания медицинской помощи женщинам, в том числе проживающим в сельской местности;</w:t>
      </w:r>
    </w:p>
    <w:p>
      <w:pPr>
        <w:pStyle w:val="0"/>
        <w:spacing w:before="200" w:lineRule="auto"/>
        <w:ind w:firstLine="540"/>
        <w:jc w:val="both"/>
      </w:pPr>
      <w:r>
        <w:rPr>
          <w:sz w:val="20"/>
        </w:rPr>
        <w:t xml:space="preserve">расширение профилактических медицинских мероприятий среди граждан репродуктивного возраста, при этом в 2030 году планируется охватить диспансерными осмотрами не менее 50% граждан данной категории;</w:t>
      </w:r>
    </w:p>
    <w:p>
      <w:pPr>
        <w:pStyle w:val="0"/>
        <w:spacing w:before="200" w:lineRule="auto"/>
        <w:ind w:firstLine="540"/>
        <w:jc w:val="both"/>
      </w:pPr>
      <w:r>
        <w:rPr>
          <w:sz w:val="20"/>
        </w:rPr>
        <w:t xml:space="preserve">продолжение мероприятий по оказанию медицинской помощи семьям, страдающим бесплодием, с использованием экстракорпорального оплодотворения за счет средств базовой программы обязательного медицинского страхования;</w:t>
      </w:r>
    </w:p>
    <w:p>
      <w:pPr>
        <w:pStyle w:val="0"/>
        <w:spacing w:before="200" w:lineRule="auto"/>
        <w:ind w:firstLine="540"/>
        <w:jc w:val="both"/>
      </w:pPr>
      <w:r>
        <w:rPr>
          <w:sz w:val="20"/>
        </w:rPr>
        <w:t xml:space="preserve">продолжение мероприятий по профилактике репродуктивных потерь, в том числе за счет развития работы с пациентками, находящимися в стадии репродуктивного выбора;</w:t>
      </w:r>
    </w:p>
    <w:p>
      <w:pPr>
        <w:pStyle w:val="0"/>
        <w:spacing w:before="200" w:lineRule="auto"/>
        <w:ind w:firstLine="540"/>
        <w:jc w:val="both"/>
      </w:pPr>
      <w:r>
        <w:rPr>
          <w:sz w:val="20"/>
        </w:rPr>
        <w:t xml:space="preserve">повышение суммарного коэффициента рождаемости третьих и последующих детей до 0,462 в 2030 году в рамках государственной </w:t>
      </w:r>
      <w:hyperlink w:history="0" r:id="rId20" w:tooltip="Постановление правительства Тульской области от 24.10.2013 N 575 (ред. от 16.10.2025) &quot;Об утверждении государственной программы Тульской области &quot;Улучшение демографической ситуации и поддержка семей, воспитывающих детей, в Тульской области&quot; (вместе с &quot;Составом управляющего совета государственной программы Тульской области &quot;Улучшение демографической ситуации и поддержка семей, воспитывающих детей, в Тульской области&quot; по должностям&quot;) {КонсультантПлюс}">
        <w:r>
          <w:rPr>
            <w:sz w:val="20"/>
            <w:color w:val="0000ff"/>
          </w:rPr>
          <w:t xml:space="preserve">программы</w:t>
        </w:r>
      </w:hyperlink>
      <w:r>
        <w:rPr>
          <w:sz w:val="20"/>
        </w:rPr>
        <w:t xml:space="preserve"> Тульской области "Улучшение демографической ситуации и поддержка семей, воспитывающих детей в Тульской области" и регионального проекта "Многодетная семья (Тульская область)";</w:t>
      </w:r>
    </w:p>
    <w:p>
      <w:pPr>
        <w:pStyle w:val="0"/>
        <w:spacing w:before="200" w:lineRule="auto"/>
        <w:ind w:firstLine="540"/>
        <w:jc w:val="both"/>
      </w:pPr>
      <w:r>
        <w:rPr>
          <w:sz w:val="20"/>
        </w:rPr>
        <w:t xml:space="preserve">публикация информационных материалов на ресурсах государственных средств массовой информации Тульской области в целях популяризации системы мер финансовой поддержки семей в зависимости от очередности рождения детей в рамках государственной </w:t>
      </w:r>
      <w:hyperlink w:history="0" r:id="rId21" w:tooltip="Постановление правительства Тульской области от 24.10.2013 N 575 (ред. от 16.10.2025) &quot;Об утверждении государственной программы Тульской области &quot;Улучшение демографической ситуации и поддержка семей, воспитывающих детей, в Тульской области&quot; (вместе с &quot;Составом управляющего совета государственной программы Тульской области &quot;Улучшение демографической ситуации и поддержка семей, воспитывающих детей, в Тульской области&quot; по должностям&quot;) {КонсультантПлюс}">
        <w:r>
          <w:rPr>
            <w:sz w:val="20"/>
            <w:color w:val="0000ff"/>
          </w:rPr>
          <w:t xml:space="preserve">программы</w:t>
        </w:r>
      </w:hyperlink>
      <w:r>
        <w:rPr>
          <w:sz w:val="20"/>
        </w:rPr>
        <w:t xml:space="preserve"> Тульской области "Улучшение демографической ситуации и поддержка семей, воспитывающих детей, в Тульской области" и регионального проекта "Поддержка семей (Тульская область)";</w:t>
      </w:r>
    </w:p>
    <w:p>
      <w:pPr>
        <w:pStyle w:val="0"/>
        <w:spacing w:before="200" w:lineRule="auto"/>
        <w:ind w:firstLine="540"/>
        <w:jc w:val="both"/>
      </w:pPr>
      <w:r>
        <w:rPr>
          <w:sz w:val="20"/>
        </w:rPr>
        <w:t xml:space="preserve">ежегодное награждение многодетных и приемных матерей, воспитавших (воспитывающих) пять и более детей Почетным знаком Тульской области "Материнская слава" и предоставление меры поддержки в форме единовременной выплаты;</w:t>
      </w:r>
    </w:p>
    <w:p>
      <w:pPr>
        <w:pStyle w:val="0"/>
        <w:spacing w:before="200" w:lineRule="auto"/>
        <w:ind w:firstLine="540"/>
        <w:jc w:val="both"/>
      </w:pPr>
      <w:r>
        <w:rPr>
          <w:sz w:val="20"/>
        </w:rPr>
        <w:t xml:space="preserve">обеспечение грантовой поддержки некоммерческих организаций, деятельность которых направлена на пропаганду традиционных семейных ценностей, формирование ответственного родительства, развитие родительских компетенций;</w:t>
      </w:r>
    </w:p>
    <w:p>
      <w:pPr>
        <w:pStyle w:val="0"/>
        <w:spacing w:before="200" w:lineRule="auto"/>
        <w:ind w:firstLine="540"/>
        <w:jc w:val="both"/>
      </w:pPr>
      <w:r>
        <w:rPr>
          <w:sz w:val="20"/>
        </w:rPr>
        <w:t xml:space="preserve">информирование врачей акушеров-гинекологов о системе социального обеспечения и социальной поддержки семей в связи с рождением детей;</w:t>
      </w:r>
    </w:p>
    <w:p>
      <w:pPr>
        <w:pStyle w:val="0"/>
        <w:spacing w:before="200" w:lineRule="auto"/>
        <w:ind w:firstLine="540"/>
        <w:jc w:val="both"/>
      </w:pPr>
      <w:r>
        <w:rPr>
          <w:sz w:val="20"/>
        </w:rPr>
        <w:t xml:space="preserve">проведение мероприятий по популяризации традиционных семейных ценностей, здорового образа жизни, охраны репродуктивного здоровья и социальной адаптации молодежи, организованных за счет средств бюджета Тульской области в рамках государственной </w:t>
      </w:r>
      <w:hyperlink w:history="0" r:id="rId22" w:tooltip="Постановление правительства Тульской области от 24.10.2013 N 575 (ред. от 16.10.2025) &quot;Об утверждении государственной программы Тульской области &quot;Улучшение демографической ситуации и поддержка семей, воспитывающих детей, в Тульской области&quot; (вместе с &quot;Составом управляющего совета государственной программы Тульской области &quot;Улучшение демографической ситуации и поддержка семей, воспитывающих детей, в Тульской области&quot; по должностям&quot;) {КонсультантПлюс}">
        <w:r>
          <w:rPr>
            <w:sz w:val="20"/>
            <w:color w:val="0000ff"/>
          </w:rPr>
          <w:t xml:space="preserve">программы</w:t>
        </w:r>
      </w:hyperlink>
      <w:r>
        <w:rPr>
          <w:sz w:val="20"/>
        </w:rPr>
        <w:t xml:space="preserve"> "Улучшение демографической ситуации и поддержка семей, воспитывающих детей в Тульской области";</w:t>
      </w:r>
    </w:p>
    <w:p>
      <w:pPr>
        <w:pStyle w:val="0"/>
        <w:spacing w:before="200" w:lineRule="auto"/>
        <w:ind w:firstLine="540"/>
        <w:jc w:val="both"/>
      </w:pPr>
      <w:r>
        <w:rPr>
          <w:sz w:val="20"/>
        </w:rPr>
        <w:t xml:space="preserve">назначение и выплата при рождении ребенка после 31 декабря 2022 года и государственной регистрации его рождения на территории Тульской области одному из родителей единовременной выплаты. Не менее 6,7 тыс. семей ежегодно получат финансовую поддержку в форме единовременной выплаты за счет бюджета Тульской области в рамках государственной </w:t>
      </w:r>
      <w:hyperlink w:history="0" r:id="rId23" w:tooltip="Постановление правительства Тульской области от 24.10.2013 N 575 (ред. от 16.10.2025) &quot;Об утверждении государственной программы Тульской области &quot;Улучшение демографической ситуации и поддержка семей, воспитывающих детей, в Тульской области&quot; (вместе с &quot;Составом управляющего совета государственной программы Тульской области &quot;Улучшение демографической ситуации и поддержка семей, воспитывающих детей, в Тульской области&quot; по должностям&quot;) {КонсультантПлюс}">
        <w:r>
          <w:rPr>
            <w:sz w:val="20"/>
            <w:color w:val="0000ff"/>
          </w:rPr>
          <w:t xml:space="preserve">программы</w:t>
        </w:r>
      </w:hyperlink>
      <w:r>
        <w:rPr>
          <w:sz w:val="20"/>
        </w:rPr>
        <w:t xml:space="preserve"> "Улучшение демографической ситуации и поддержка семей, воспитывающих детей в Тульской области";</w:t>
      </w:r>
    </w:p>
    <w:p>
      <w:pPr>
        <w:pStyle w:val="0"/>
        <w:spacing w:before="200" w:lineRule="auto"/>
        <w:ind w:firstLine="540"/>
        <w:jc w:val="both"/>
      </w:pPr>
      <w:r>
        <w:rPr>
          <w:sz w:val="20"/>
        </w:rPr>
        <w:t xml:space="preserve">создание центра семейного бизнеса и делового портала Тульской области (https://del-tula.ru/) совместно с Тульской торгово-промышленной палатой;</w:t>
      </w:r>
    </w:p>
    <w:p>
      <w:pPr>
        <w:pStyle w:val="0"/>
        <w:spacing w:before="200" w:lineRule="auto"/>
        <w:ind w:firstLine="540"/>
        <w:jc w:val="both"/>
      </w:pPr>
      <w:r>
        <w:rPr>
          <w:sz w:val="20"/>
        </w:rPr>
        <w:t xml:space="preserve">проведение ежегодных тематических конкурсов и акций, в том числе регионального этапа Всероссийского конкурса "Семья года", акции "За любовь и верность", "Крылья ангела", областного конкурса "Отцовство - долг и дар", фотоконкурса "Мы - семья!";</w:t>
      </w:r>
    </w:p>
    <w:p>
      <w:pPr>
        <w:pStyle w:val="0"/>
        <w:spacing w:before="200" w:lineRule="auto"/>
        <w:ind w:firstLine="540"/>
        <w:jc w:val="both"/>
      </w:pPr>
      <w:r>
        <w:rPr>
          <w:sz w:val="20"/>
        </w:rPr>
        <w:t xml:space="preserve">награждение отличившихся родителей и семейных пар знаками отличия Тульской области "Отцовская слава", почетным знаком Тульской области "Материнская слава".</w:t>
      </w:r>
    </w:p>
    <w:p>
      <w:pPr>
        <w:pStyle w:val="0"/>
      </w:pPr>
      <w:r>
        <w:rPr>
          <w:sz w:val="20"/>
        </w:rPr>
      </w:r>
    </w:p>
    <w:p>
      <w:pPr>
        <w:pStyle w:val="2"/>
        <w:outlineLvl w:val="2"/>
        <w:jc w:val="center"/>
      </w:pPr>
      <w:r>
        <w:rPr>
          <w:sz w:val="20"/>
        </w:rPr>
        <w:t xml:space="preserve">4.6. Поддержка молодежи</w:t>
      </w:r>
    </w:p>
    <w:p>
      <w:pPr>
        <w:pStyle w:val="0"/>
      </w:pPr>
      <w:r>
        <w:rPr>
          <w:sz w:val="20"/>
        </w:rPr>
      </w:r>
    </w:p>
    <w:p>
      <w:pPr>
        <w:pStyle w:val="0"/>
        <w:ind w:firstLine="540"/>
        <w:jc w:val="both"/>
      </w:pPr>
      <w:r>
        <w:rPr>
          <w:sz w:val="20"/>
        </w:rPr>
        <w:t xml:space="preserve">К началу 2025 года в Тульской области проживало 328 тыс. молодых людей в возрасте от 14 до 35 лет или 22% от общей численности населения региона.</w:t>
      </w:r>
    </w:p>
    <w:p>
      <w:pPr>
        <w:pStyle w:val="0"/>
        <w:spacing w:before="200" w:lineRule="auto"/>
        <w:ind w:firstLine="540"/>
        <w:jc w:val="both"/>
      </w:pPr>
      <w:r>
        <w:rPr>
          <w:sz w:val="20"/>
        </w:rPr>
        <w:t xml:space="preserve">По данным мониторинга Федерального агентства по делам молодежи в 2025 году Тульская область заняла 4 место по эффективности реализации молодежной политики среди российских регионов с численностью молодежи от 200 до 500 тыс. человек.</w:t>
      </w:r>
    </w:p>
    <w:p>
      <w:pPr>
        <w:pStyle w:val="0"/>
        <w:spacing w:before="200" w:lineRule="auto"/>
        <w:ind w:firstLine="540"/>
        <w:jc w:val="both"/>
      </w:pPr>
      <w:r>
        <w:rPr>
          <w:sz w:val="20"/>
        </w:rPr>
        <w:t xml:space="preserve">Если в 2021 году на территории Тульской области функционировало 12 муниципальных учреждений для молодежи, то в 2025 году - уже 22. В 2023 - 2025 годах отремонтировано 7 муниципальных учреждений в сфере молодежной политики, а также крупнейший в регионе Тульский областной центр молодежи.</w:t>
      </w:r>
    </w:p>
    <w:p>
      <w:pPr>
        <w:pStyle w:val="0"/>
        <w:spacing w:before="200" w:lineRule="auto"/>
        <w:ind w:firstLine="540"/>
        <w:jc w:val="both"/>
      </w:pPr>
      <w:r>
        <w:rPr>
          <w:sz w:val="20"/>
        </w:rPr>
        <w:t xml:space="preserve">В муниципальных образованиях Тульской области ведется активная работа по вовлечению молодежи в деятельность Общероссийского общественно-государственного движения детей и молодежи "Движение Первых". В регионе открыто 645 первичных отделений "Движения Первых" в образовательных организациях, учреждениях спорта, культуры, молодежной политики. Общий охват участников первичных отделений в 2025 году составил более 120 тыс. человек (38% молодежи).</w:t>
      </w:r>
    </w:p>
    <w:p>
      <w:pPr>
        <w:pStyle w:val="0"/>
        <w:spacing w:before="200" w:lineRule="auto"/>
        <w:ind w:firstLine="540"/>
        <w:jc w:val="both"/>
      </w:pPr>
      <w:r>
        <w:rPr>
          <w:sz w:val="20"/>
        </w:rPr>
        <w:t xml:space="preserve">Правительство Тульской области выделяет гранты на поддержку молодежных инициатив в размере 500 тыс. рублей на человека. Суммарный бюджет грантовой программы с 2023 года увеличился вдвое и составляет порядка 5 млн. рублей. Поддержку получили следующие проекты:</w:t>
      </w:r>
    </w:p>
    <w:p>
      <w:pPr>
        <w:pStyle w:val="0"/>
        <w:spacing w:before="200" w:lineRule="auto"/>
        <w:ind w:firstLine="540"/>
        <w:jc w:val="both"/>
      </w:pPr>
      <w:r>
        <w:rPr>
          <w:sz w:val="20"/>
        </w:rPr>
        <w:t xml:space="preserve">в сфере международного сотрудничества - "Международный клуб Дружбы", "Окно в Туризм: Открывай Россию";</w:t>
      </w:r>
    </w:p>
    <w:p>
      <w:pPr>
        <w:pStyle w:val="0"/>
        <w:spacing w:before="200" w:lineRule="auto"/>
        <w:ind w:firstLine="540"/>
        <w:jc w:val="both"/>
      </w:pPr>
      <w:r>
        <w:rPr>
          <w:sz w:val="20"/>
        </w:rPr>
        <w:t xml:space="preserve">в сфере развития молодежных медиа - "Медиапроект "Право Голоса";</w:t>
      </w:r>
    </w:p>
    <w:p>
      <w:pPr>
        <w:pStyle w:val="0"/>
        <w:spacing w:before="200" w:lineRule="auto"/>
        <w:ind w:firstLine="540"/>
        <w:jc w:val="both"/>
      </w:pPr>
      <w:r>
        <w:rPr>
          <w:sz w:val="20"/>
        </w:rPr>
        <w:t xml:space="preserve">в сфере Экопросвещения молодежи - "Школа экологического волонтерства "Эко-Навигаторы", "Пластиковая Переосмысленность", экологическая акция "Озеленяйся";</w:t>
      </w:r>
    </w:p>
    <w:p>
      <w:pPr>
        <w:pStyle w:val="0"/>
        <w:spacing w:before="200" w:lineRule="auto"/>
        <w:ind w:firstLine="540"/>
        <w:jc w:val="both"/>
      </w:pPr>
      <w:r>
        <w:rPr>
          <w:sz w:val="20"/>
        </w:rPr>
        <w:t xml:space="preserve">в сфере патриотического воспитания - "Сети Победы", "Комплекс патриотических мероприятий, посвященных 80-летию Победы в Великой Отечественной войне "Имя Победы", "Изготовление маскировочных сетей и антидроновых одеял силами добровольцев для участников СВО", "Марш-бросок по местам Боевой Славы", "Za Правду";</w:t>
      </w:r>
    </w:p>
    <w:p>
      <w:pPr>
        <w:pStyle w:val="0"/>
        <w:spacing w:before="200" w:lineRule="auto"/>
        <w:ind w:firstLine="540"/>
        <w:jc w:val="both"/>
      </w:pPr>
      <w:r>
        <w:rPr>
          <w:sz w:val="20"/>
        </w:rPr>
        <w:t xml:space="preserve">в сфере развития творчества и самореализации молодежи - "Квартирник "Все СВОи", Фотопроект "Я", Клуб настольных игр "Платформа 9 3/4".</w:t>
      </w:r>
    </w:p>
    <w:p>
      <w:pPr>
        <w:pStyle w:val="0"/>
        <w:spacing w:before="200" w:lineRule="auto"/>
        <w:ind w:firstLine="540"/>
        <w:jc w:val="both"/>
      </w:pPr>
      <w:r>
        <w:rPr>
          <w:sz w:val="20"/>
        </w:rPr>
        <w:t xml:space="preserve">Тульская область предоставляет площадки для проведения мероприятий - международный музыкальный фестиваль "Дикая мята", Международный молодежный промышленный форум "Инженеры будущего", окружной этап Всероссийской военно-патриотической игры "Зарница 2.0", Всероссийская научно-образовательная конференция по профилактике социально-негативных явлений в молодежной среде "Социальный десант", XIV Всероссийский фестиваль детских команд "КВН.Первые", Окружной сельскохозяйственный форум "АгроPROДвижение" и другие.</w:t>
      </w:r>
    </w:p>
    <w:p>
      <w:pPr>
        <w:pStyle w:val="0"/>
        <w:spacing w:before="200" w:lineRule="auto"/>
        <w:ind w:firstLine="540"/>
        <w:jc w:val="both"/>
      </w:pPr>
      <w:r>
        <w:rPr>
          <w:sz w:val="20"/>
        </w:rPr>
        <w:t xml:space="preserve">Стратегическая цель - формирование системы молодежной политики, ориентированной на становление и развитие патриотически настроенного, высоконравственного и ответственного поколения, способного обеспечить суверенитет, конкурентоспособность и дальнейшее развитие России;</w:t>
      </w:r>
    </w:p>
    <w:p>
      <w:pPr>
        <w:pStyle w:val="0"/>
        <w:spacing w:before="200" w:lineRule="auto"/>
        <w:ind w:firstLine="540"/>
        <w:jc w:val="both"/>
      </w:pPr>
      <w:r>
        <w:rPr>
          <w:sz w:val="20"/>
        </w:rPr>
        <w:t xml:space="preserve">улучшение социально-экономического положения молодежи, активное ее привлечение к участию в государственном строительстве и развитии современного общества, учитывающего его актуальные потребности, вызовы и угрозы, стоящие перед страной.</w:t>
      </w:r>
    </w:p>
    <w:p>
      <w:pPr>
        <w:pStyle w:val="0"/>
        <w:spacing w:before="200" w:lineRule="auto"/>
        <w:ind w:firstLine="540"/>
        <w:jc w:val="both"/>
      </w:pPr>
      <w:r>
        <w:rPr>
          <w:sz w:val="20"/>
        </w:rPr>
        <w:t xml:space="preserve">Реализация стратегической цели требует решения следующих задач:</w:t>
      </w:r>
    </w:p>
    <w:p>
      <w:pPr>
        <w:pStyle w:val="0"/>
        <w:spacing w:before="200" w:lineRule="auto"/>
        <w:ind w:firstLine="540"/>
        <w:jc w:val="both"/>
      </w:pPr>
      <w:r>
        <w:rPr>
          <w:sz w:val="20"/>
        </w:rPr>
        <w:t xml:space="preserve">развитие в молодежной среде традиционных российских нравственных ценностей, гражданственности и патриотизма;</w:t>
      </w:r>
    </w:p>
    <w:p>
      <w:pPr>
        <w:pStyle w:val="0"/>
        <w:spacing w:before="200" w:lineRule="auto"/>
        <w:ind w:firstLine="540"/>
        <w:jc w:val="both"/>
      </w:pPr>
      <w:r>
        <w:rPr>
          <w:sz w:val="20"/>
        </w:rPr>
        <w:t xml:space="preserve">создание для молодых семей благоприятных условий, направленных на повышение рождаемости, формирование ценностей семейной культуры;</w:t>
      </w:r>
    </w:p>
    <w:p>
      <w:pPr>
        <w:pStyle w:val="0"/>
        <w:spacing w:before="200" w:lineRule="auto"/>
        <w:ind w:firstLine="540"/>
        <w:jc w:val="both"/>
      </w:pPr>
      <w:r>
        <w:rPr>
          <w:sz w:val="20"/>
        </w:rPr>
        <w:t xml:space="preserve">формирование системы ценностей здорового образа жизни в молодежной среде, обеспечение социальных гарантий молодежи, содействие ее образованию, научной, научно-технической и творческой деятельности;</w:t>
      </w:r>
    </w:p>
    <w:p>
      <w:pPr>
        <w:pStyle w:val="0"/>
        <w:spacing w:before="200" w:lineRule="auto"/>
        <w:ind w:firstLine="540"/>
        <w:jc w:val="both"/>
      </w:pPr>
      <w:r>
        <w:rPr>
          <w:sz w:val="20"/>
        </w:rPr>
        <w:t xml:space="preserve">профессиональное развитие молодежи, содействие ее занятости, трудоустройству и предпринимательской деятельности, повышение уровня финансовой грамотности;</w:t>
      </w:r>
    </w:p>
    <w:p>
      <w:pPr>
        <w:pStyle w:val="0"/>
        <w:spacing w:before="200" w:lineRule="auto"/>
        <w:ind w:firstLine="540"/>
        <w:jc w:val="both"/>
      </w:pPr>
      <w:r>
        <w:rPr>
          <w:sz w:val="20"/>
        </w:rPr>
        <w:t xml:space="preserve">противодействие деструктивному поведению молодежи, ее правовое просвещение и информационная защита;</w:t>
      </w:r>
    </w:p>
    <w:p>
      <w:pPr>
        <w:pStyle w:val="0"/>
        <w:spacing w:before="200" w:lineRule="auto"/>
        <w:ind w:firstLine="540"/>
        <w:jc w:val="both"/>
      </w:pPr>
      <w:r>
        <w:rPr>
          <w:sz w:val="20"/>
        </w:rPr>
        <w:t xml:space="preserve">создание условий для развития добровольчества (волонтерства), молодежных и детских общественно-государственных и общественных объединений, органов молодежного самоуправления;</w:t>
      </w:r>
    </w:p>
    <w:p>
      <w:pPr>
        <w:pStyle w:val="0"/>
        <w:spacing w:before="200" w:lineRule="auto"/>
        <w:ind w:firstLine="540"/>
        <w:jc w:val="both"/>
      </w:pPr>
      <w:r>
        <w:rPr>
          <w:sz w:val="20"/>
        </w:rPr>
        <w:t xml:space="preserve">развитие международного и межрегионального сотрудничества, работа с иностранными студентами, обучающимися в образовательных организациях Тульской области;</w:t>
      </w:r>
    </w:p>
    <w:p>
      <w:pPr>
        <w:pStyle w:val="0"/>
        <w:spacing w:before="200" w:lineRule="auto"/>
        <w:ind w:firstLine="540"/>
        <w:jc w:val="both"/>
      </w:pPr>
      <w:r>
        <w:rPr>
          <w:sz w:val="20"/>
        </w:rPr>
        <w:t xml:space="preserve">повышение эффективности деятельности органов по делам молодежи и согласованности функционирования других субъектов, осуществляющих деятельность в сфере молодежной политики;</w:t>
      </w:r>
    </w:p>
    <w:p>
      <w:pPr>
        <w:pStyle w:val="0"/>
        <w:spacing w:before="200" w:lineRule="auto"/>
        <w:ind w:firstLine="540"/>
        <w:jc w:val="both"/>
      </w:pPr>
      <w:r>
        <w:rPr>
          <w:sz w:val="20"/>
        </w:rPr>
        <w:t xml:space="preserve">повышение профессионального престижа специалистов по работе с молодежью;</w:t>
      </w:r>
    </w:p>
    <w:p>
      <w:pPr>
        <w:pStyle w:val="0"/>
        <w:spacing w:before="200" w:lineRule="auto"/>
        <w:ind w:firstLine="540"/>
        <w:jc w:val="both"/>
      </w:pPr>
      <w:r>
        <w:rPr>
          <w:sz w:val="20"/>
        </w:rPr>
        <w:t xml:space="preserve">совершенствование научного, программного, кадрового, инфраструктурного, финансового, информационного и иных форм обеспечения молодежной политики;</w:t>
      </w:r>
    </w:p>
    <w:p>
      <w:pPr>
        <w:pStyle w:val="0"/>
        <w:spacing w:before="200" w:lineRule="auto"/>
        <w:ind w:firstLine="540"/>
        <w:jc w:val="both"/>
      </w:pPr>
      <w:r>
        <w:rPr>
          <w:sz w:val="20"/>
        </w:rPr>
        <w:t xml:space="preserve">совершенствование системы управления и инфраструктуры в сфере молодежной политики.</w:t>
      </w:r>
    </w:p>
    <w:p>
      <w:pPr>
        <w:pStyle w:val="0"/>
        <w:spacing w:before="200" w:lineRule="auto"/>
        <w:ind w:firstLine="540"/>
        <w:jc w:val="both"/>
      </w:pPr>
      <w:r>
        <w:rPr>
          <w:sz w:val="20"/>
        </w:rPr>
        <w:t xml:space="preserve">Развитие молодежной политики Тульской области основано на усилении межотраслевой координации и межведомственном взаимодействии органов публичной власти и других субъектов, осуществляющих деятельность в сфере молодежной политики.</w:t>
      </w:r>
    </w:p>
    <w:p>
      <w:pPr>
        <w:pStyle w:val="0"/>
        <w:spacing w:before="200" w:lineRule="auto"/>
        <w:ind w:firstLine="540"/>
        <w:jc w:val="both"/>
      </w:pPr>
      <w:r>
        <w:rPr>
          <w:sz w:val="20"/>
        </w:rPr>
        <w:t xml:space="preserve">Основные меры, направленные на развитие молодежи:</w:t>
      </w:r>
    </w:p>
    <w:p>
      <w:pPr>
        <w:pStyle w:val="0"/>
        <w:spacing w:before="200" w:lineRule="auto"/>
        <w:ind w:firstLine="540"/>
        <w:jc w:val="both"/>
      </w:pPr>
      <w:r>
        <w:rPr>
          <w:sz w:val="20"/>
        </w:rPr>
        <w:t xml:space="preserve">ежегодное создание и/или модернизация в муниципальных образованиях Тульской области одного учреждения для молодежи;</w:t>
      </w:r>
    </w:p>
    <w:p>
      <w:pPr>
        <w:pStyle w:val="0"/>
        <w:spacing w:before="200" w:lineRule="auto"/>
        <w:ind w:firstLine="540"/>
        <w:jc w:val="both"/>
      </w:pPr>
      <w:r>
        <w:rPr>
          <w:sz w:val="20"/>
        </w:rPr>
        <w:t xml:space="preserve">строительство клуба со зрительным залом на 150 мест на территории оздоровительного лагеря "Сигнал";</w:t>
      </w:r>
    </w:p>
    <w:p>
      <w:pPr>
        <w:pStyle w:val="0"/>
        <w:spacing w:before="200" w:lineRule="auto"/>
        <w:ind w:firstLine="540"/>
        <w:jc w:val="both"/>
      </w:pPr>
      <w:r>
        <w:rPr>
          <w:sz w:val="20"/>
        </w:rPr>
        <w:t xml:space="preserve">приведение инфраструктуры муниципальной молодежной политики и подходов к работе с молодежью в регионе к единым стандартам качества в соответствии с принятым Федеральным агентством по делам молодежи Стандартом учреждения молодежной политики;</w:t>
      </w:r>
    </w:p>
    <w:p>
      <w:pPr>
        <w:pStyle w:val="0"/>
        <w:spacing w:before="200" w:lineRule="auto"/>
        <w:ind w:firstLine="540"/>
        <w:jc w:val="both"/>
      </w:pPr>
      <w:r>
        <w:rPr>
          <w:sz w:val="20"/>
        </w:rPr>
        <w:t xml:space="preserve">организация и проведение мероприятий для молодежи регионального, окружного, всероссийского и международного уровня;</w:t>
      </w:r>
    </w:p>
    <w:p>
      <w:pPr>
        <w:pStyle w:val="0"/>
        <w:spacing w:before="200" w:lineRule="auto"/>
        <w:ind w:firstLine="540"/>
        <w:jc w:val="both"/>
      </w:pPr>
      <w:r>
        <w:rPr>
          <w:sz w:val="20"/>
        </w:rPr>
        <w:t xml:space="preserve">реализация информационной и рекламной кампании в сфере молодежной политики;</w:t>
      </w:r>
    </w:p>
    <w:p>
      <w:pPr>
        <w:pStyle w:val="0"/>
        <w:spacing w:before="200" w:lineRule="auto"/>
        <w:ind w:firstLine="540"/>
        <w:jc w:val="both"/>
      </w:pPr>
      <w:r>
        <w:rPr>
          <w:sz w:val="20"/>
        </w:rPr>
        <w:t xml:space="preserve">усиление интеграции региональных детских и молодежных общественных объединений и сообществ, некоммерческих организаций в экосистему молодежной политики;</w:t>
      </w:r>
    </w:p>
    <w:p>
      <w:pPr>
        <w:pStyle w:val="0"/>
        <w:spacing w:before="200" w:lineRule="auto"/>
        <w:ind w:firstLine="540"/>
        <w:jc w:val="both"/>
      </w:pPr>
      <w:r>
        <w:rPr>
          <w:sz w:val="20"/>
        </w:rPr>
        <w:t xml:space="preserve">формирование "Дирекций Первых" в ходе реализации молодежных мероприятий, в рамках которых активисты регионального отделения "Движения Первых" станут полноценными соорганизаторами мероприятий;</w:t>
      </w:r>
    </w:p>
    <w:p>
      <w:pPr>
        <w:pStyle w:val="0"/>
        <w:spacing w:before="200" w:lineRule="auto"/>
        <w:ind w:firstLine="540"/>
        <w:jc w:val="both"/>
      </w:pPr>
      <w:r>
        <w:rPr>
          <w:sz w:val="20"/>
        </w:rPr>
        <w:t xml:space="preserve">совершенствование работы по патриотическому воспитанию молодежи, формированию традиционных духовно-нравственных ценностей;</w:t>
      </w:r>
    </w:p>
    <w:p>
      <w:pPr>
        <w:pStyle w:val="0"/>
        <w:spacing w:before="200" w:lineRule="auto"/>
        <w:ind w:firstLine="540"/>
        <w:jc w:val="both"/>
      </w:pPr>
      <w:r>
        <w:rPr>
          <w:sz w:val="20"/>
        </w:rPr>
        <w:t xml:space="preserve">развитие компетенций команд региональных и муниципальных учреждений молодежной политики;</w:t>
      </w:r>
    </w:p>
    <w:p>
      <w:pPr>
        <w:pStyle w:val="0"/>
        <w:spacing w:before="200" w:lineRule="auto"/>
        <w:ind w:firstLine="540"/>
        <w:jc w:val="both"/>
      </w:pPr>
      <w:r>
        <w:rPr>
          <w:sz w:val="20"/>
        </w:rPr>
        <w:t xml:space="preserve">разработка стратегических документов - концепций развития учреждений молодежной политики;</w:t>
      </w:r>
    </w:p>
    <w:p>
      <w:pPr>
        <w:pStyle w:val="0"/>
        <w:spacing w:before="200" w:lineRule="auto"/>
        <w:ind w:firstLine="540"/>
        <w:jc w:val="both"/>
      </w:pPr>
      <w:r>
        <w:rPr>
          <w:sz w:val="20"/>
        </w:rPr>
        <w:t xml:space="preserve">внедрение новых и развитие ключевых направлений молодежной политики в деятельность муниципальных образований;</w:t>
      </w:r>
    </w:p>
    <w:p>
      <w:pPr>
        <w:pStyle w:val="0"/>
        <w:spacing w:before="200" w:lineRule="auto"/>
        <w:ind w:firstLine="540"/>
        <w:jc w:val="both"/>
      </w:pPr>
      <w:r>
        <w:rPr>
          <w:sz w:val="20"/>
        </w:rPr>
        <w:t xml:space="preserve">развитие деятельности Международного клуба дружбы Тульской области;</w:t>
      </w:r>
    </w:p>
    <w:p>
      <w:pPr>
        <w:pStyle w:val="0"/>
        <w:spacing w:before="200" w:lineRule="auto"/>
        <w:ind w:firstLine="540"/>
        <w:jc w:val="both"/>
      </w:pPr>
      <w:r>
        <w:rPr>
          <w:sz w:val="20"/>
        </w:rPr>
        <w:t xml:space="preserve">содействие здоровому образу жизни молодежи;</w:t>
      </w:r>
    </w:p>
    <w:p>
      <w:pPr>
        <w:pStyle w:val="0"/>
        <w:spacing w:before="200" w:lineRule="auto"/>
        <w:ind w:firstLine="540"/>
        <w:jc w:val="both"/>
      </w:pPr>
      <w:r>
        <w:rPr>
          <w:sz w:val="20"/>
        </w:rPr>
        <w:t xml:space="preserve">внедрение комплекса новых и масштабирование традиционных проектов и мероприятий, пользующихся большим спросом у молодежи, с целью повышения уровня удовлетворенности молодежи проектами и программами в сфере молодежной политики, в том числе вовлечение молодежи в участие в проектах молодежной политики на системной основе.</w:t>
      </w:r>
    </w:p>
    <w:p>
      <w:pPr>
        <w:pStyle w:val="0"/>
      </w:pPr>
      <w:r>
        <w:rPr>
          <w:sz w:val="20"/>
        </w:rPr>
      </w:r>
    </w:p>
    <w:p>
      <w:pPr>
        <w:pStyle w:val="2"/>
        <w:outlineLvl w:val="2"/>
        <w:jc w:val="center"/>
      </w:pPr>
      <w:r>
        <w:rPr>
          <w:sz w:val="20"/>
        </w:rPr>
        <w:t xml:space="preserve">4.7. Поддержка пожилых людей</w:t>
      </w:r>
    </w:p>
    <w:p>
      <w:pPr>
        <w:pStyle w:val="0"/>
      </w:pPr>
      <w:r>
        <w:rPr>
          <w:sz w:val="20"/>
        </w:rPr>
      </w:r>
    </w:p>
    <w:p>
      <w:pPr>
        <w:pStyle w:val="0"/>
        <w:ind w:firstLine="540"/>
        <w:jc w:val="both"/>
      </w:pPr>
      <w:r>
        <w:rPr>
          <w:sz w:val="20"/>
        </w:rPr>
        <w:t xml:space="preserve">В Тульской области наблюдается значительный прирост пожилых людей. По данным Росстата на начало 2025 года численность граждан пожилого возраста (65 лет и старше) составила более 421 тыс., или 28,9% от общей численности населения, что является одним из самых высоких показателей в ЦФО и отражает тенденцию к старению населения. При этом около 26% из них продолжают работать, демонстрируя потенциал для активного вовлечения в экономику и общество.</w:t>
      </w:r>
    </w:p>
    <w:p>
      <w:pPr>
        <w:pStyle w:val="0"/>
        <w:spacing w:before="200" w:lineRule="auto"/>
        <w:ind w:firstLine="540"/>
        <w:jc w:val="both"/>
      </w:pPr>
      <w:r>
        <w:rPr>
          <w:sz w:val="20"/>
        </w:rPr>
        <w:t xml:space="preserve">Пожилые люди представляют собой одну из уязвимых категорий населения, нуждающихся в повышенной социальной защите.</w:t>
      </w:r>
    </w:p>
    <w:p>
      <w:pPr>
        <w:pStyle w:val="0"/>
        <w:spacing w:before="200" w:lineRule="auto"/>
        <w:ind w:firstLine="540"/>
        <w:jc w:val="both"/>
      </w:pPr>
      <w:r>
        <w:rPr>
          <w:sz w:val="20"/>
        </w:rPr>
        <w:t xml:space="preserve">В регионе действуют меры социальной поддержки граждан пожилого возраста, ветеранов и инвалидов, включая жилищную субсидию, ежемесячную денежную выплату и компенсацию оплаты жилого помещения и коммунальных услуг.</w:t>
      </w:r>
    </w:p>
    <w:p>
      <w:pPr>
        <w:pStyle w:val="0"/>
        <w:spacing w:before="200" w:lineRule="auto"/>
        <w:ind w:firstLine="540"/>
        <w:jc w:val="both"/>
      </w:pPr>
      <w:r>
        <w:rPr>
          <w:sz w:val="20"/>
        </w:rPr>
        <w:t xml:space="preserve">Особое внимание уделяется предоставлению мер социальной поддержки таким категориям граждан, как ветераны труда, реабилитированные лица, лица, признанные пострадавшим от политических репрессий, бывшие воспитанники детских домов военного времени 1941 - 1945 годов.</w:t>
      </w:r>
    </w:p>
    <w:p>
      <w:pPr>
        <w:pStyle w:val="0"/>
        <w:spacing w:before="200" w:lineRule="auto"/>
        <w:ind w:firstLine="540"/>
        <w:jc w:val="both"/>
      </w:pPr>
      <w:r>
        <w:rPr>
          <w:sz w:val="20"/>
        </w:rPr>
        <w:t xml:space="preserve">Ведется системная работа по увеличению периода активного долголетия и продолжительности здоровой жизни граждан старшего поколения. Реализуются государственная </w:t>
      </w:r>
      <w:hyperlink w:history="0" r:id="rId24" w:tooltip="Постановление правительства Тульской области от 16.02.2018 N 65 (ред. от 03.05.2023) &quot;Об утверждении государственной программы Тульской области &quot;Социальная поддержка и социальное обслуживание населения Тульской области&quot; (вместе с &quot;Составом управляющего совета государственной программы Тульской области &quot;Социальная поддержка и социальное обслуживание населения Тульской области&quot; по должностям&quot;) {КонсультантПлюс}">
        <w:r>
          <w:rPr>
            <w:sz w:val="20"/>
            <w:color w:val="0000ff"/>
          </w:rPr>
          <w:t xml:space="preserve">программа</w:t>
        </w:r>
      </w:hyperlink>
      <w:r>
        <w:rPr>
          <w:sz w:val="20"/>
        </w:rPr>
        <w:t xml:space="preserve"> Тульской области "Социальная поддержка и социальное обслуживание населения Тульской области", региональная </w:t>
      </w:r>
      <w:hyperlink w:history="0" r:id="rId25" w:tooltip="Постановление Правительства Тульской области от 29.01.2025 N 42 (ред. от 17.07.2026) &quot;Об утверждении Региональной программы &quot;Активное долголетие&quot; в Тульской области на 2025 - 2030 годы&quot; {КонсультантПлюс}">
        <w:r>
          <w:rPr>
            <w:sz w:val="20"/>
            <w:color w:val="0000ff"/>
          </w:rPr>
          <w:t xml:space="preserve">программа</w:t>
        </w:r>
      </w:hyperlink>
      <w:r>
        <w:rPr>
          <w:sz w:val="20"/>
        </w:rPr>
        <w:t xml:space="preserve"> "Активное долголетие" в Тульской области на 2025 - 2030 годы, пилотный проект по созданию системы долговременного ухода за гражданами старшего поколения и инвалидами, нуждающимися в уходе.</w:t>
      </w:r>
    </w:p>
    <w:p>
      <w:pPr>
        <w:pStyle w:val="0"/>
        <w:spacing w:before="200" w:lineRule="auto"/>
        <w:ind w:firstLine="540"/>
        <w:jc w:val="both"/>
      </w:pPr>
      <w:r>
        <w:rPr>
          <w:sz w:val="20"/>
        </w:rPr>
        <w:t xml:space="preserve">Ключевым фактором качества жизни в старшем возрасте и активного долголетия является здоровье. Для представителей старшего поколения здоровье определяется в том числе качеством и доступностью услуг системы здравоохранения и социального обслуживания, а также приверженностью к ведению здорового образа жизни на всем ее протяжении.</w:t>
      </w:r>
    </w:p>
    <w:p>
      <w:pPr>
        <w:pStyle w:val="0"/>
        <w:spacing w:before="200" w:lineRule="auto"/>
        <w:ind w:firstLine="540"/>
        <w:jc w:val="both"/>
      </w:pPr>
      <w:r>
        <w:rPr>
          <w:sz w:val="20"/>
        </w:rPr>
        <w:t xml:space="preserve">В регионе регулярно проводятся мероприятия по профилактике хронических заболеваний с целью сохранения и укрепления здоровья и увеличения периода активного долголетия жителей Тульской области.</w:t>
      </w:r>
    </w:p>
    <w:p>
      <w:pPr>
        <w:pStyle w:val="0"/>
        <w:spacing w:before="200" w:lineRule="auto"/>
        <w:ind w:firstLine="540"/>
        <w:jc w:val="both"/>
      </w:pPr>
      <w:r>
        <w:rPr>
          <w:sz w:val="20"/>
        </w:rPr>
        <w:t xml:space="preserve">В 2025 году диспансеризацией и профилактическими медицинскими осмотрами охвачено 95,6% от всех граждан старше трудоспособного возраста.</w:t>
      </w:r>
    </w:p>
    <w:p>
      <w:pPr>
        <w:pStyle w:val="0"/>
        <w:spacing w:before="200" w:lineRule="auto"/>
        <w:ind w:firstLine="540"/>
        <w:jc w:val="both"/>
      </w:pPr>
      <w:r>
        <w:rPr>
          <w:sz w:val="20"/>
        </w:rPr>
        <w:t xml:space="preserve">В рамках федерального проекта "Старшее поколение" в регионе приобретено 13 единиц автотранспорта для государственных учреждений социального обслуживания с целью доставки граждан 65 лет и старше в медицинские организации и организации социального обслуживания из отдаленных населенных пунктов, а также оказания медицинской помощи на дому. В 2025 году услугами воспользовались 5313 человек.</w:t>
      </w:r>
    </w:p>
    <w:p>
      <w:pPr>
        <w:pStyle w:val="0"/>
        <w:spacing w:before="200" w:lineRule="auto"/>
        <w:ind w:firstLine="540"/>
        <w:jc w:val="both"/>
      </w:pPr>
      <w:r>
        <w:rPr>
          <w:sz w:val="20"/>
        </w:rPr>
        <w:t xml:space="preserve">С целью повышения информированности пациентов, перенесших инсульт, и их родственников, оказания самопомощи, предупреждения обострений, повышения приверженности к лечению, увеличения продолжительности жизни функционируют школы для пациентов, перенесших инсульт. На базе государственных учреждений здравоохранения Тульской области функционируют школы по профилактике падений и переломов.</w:t>
      </w:r>
    </w:p>
    <w:p>
      <w:pPr>
        <w:pStyle w:val="0"/>
        <w:spacing w:before="200" w:lineRule="auto"/>
        <w:ind w:firstLine="540"/>
        <w:jc w:val="both"/>
      </w:pPr>
      <w:r>
        <w:rPr>
          <w:sz w:val="20"/>
        </w:rPr>
        <w:t xml:space="preserve">На базе государственного учреждения здравоохранения "Тульская областная клиническая психиатрическая больница N 1 имени Н.П. Каменева" проводится профилактическая работа с населением в части сохранения психического здоровья, организована "Школа деменции".</w:t>
      </w:r>
    </w:p>
    <w:p>
      <w:pPr>
        <w:pStyle w:val="0"/>
        <w:spacing w:before="200" w:lineRule="auto"/>
        <w:ind w:firstLine="540"/>
        <w:jc w:val="both"/>
      </w:pPr>
      <w:r>
        <w:rPr>
          <w:sz w:val="20"/>
        </w:rPr>
        <w:t xml:space="preserve">На территории региона внедрена система долговременного ухода. В ее структуру входят 1 региональный и 7 территориальных координационных центров, 16 государственных учреждений социального обслуживания, 1 негосударственный поставщик социальных услуг, 26 государственных учреждений здравоохранения.</w:t>
      </w:r>
    </w:p>
    <w:p>
      <w:pPr>
        <w:pStyle w:val="0"/>
        <w:spacing w:before="200" w:lineRule="auto"/>
        <w:ind w:firstLine="540"/>
        <w:jc w:val="both"/>
      </w:pPr>
      <w:r>
        <w:rPr>
          <w:sz w:val="20"/>
        </w:rPr>
        <w:t xml:space="preserve">Посредством ведомственных информационных систем здравоохранения и социального обслуживания Тульской области организован обмен сведениями о гражданах, нуждающихся в уходе и (или) включенных в систему долговременного ухода.</w:t>
      </w:r>
    </w:p>
    <w:p>
      <w:pPr>
        <w:pStyle w:val="0"/>
        <w:spacing w:before="200" w:lineRule="auto"/>
        <w:ind w:firstLine="540"/>
        <w:jc w:val="both"/>
      </w:pPr>
      <w:r>
        <w:rPr>
          <w:sz w:val="20"/>
        </w:rPr>
        <w:t xml:space="preserve">В рамках системы долговременного ухода проводится работа по поддержке родственников, ухаживающих за пожилыми людьми и инвалидами. На базе регионального координационного центра работает многоканальная телефонная "горячая линия" для граждан пожилого возраста, ветеранов, инвалидов и их родственников. В 2025 году по вопросам социального обслуживания и организации ухода обратилось более 4,6 тысячи человек.</w:t>
      </w:r>
    </w:p>
    <w:p>
      <w:pPr>
        <w:pStyle w:val="0"/>
        <w:spacing w:before="200" w:lineRule="auto"/>
        <w:ind w:firstLine="540"/>
        <w:jc w:val="both"/>
      </w:pPr>
      <w:r>
        <w:rPr>
          <w:sz w:val="20"/>
        </w:rPr>
        <w:t xml:space="preserve">Также функционируют 13 пунктов проката технических средств реабилитации и 9 Школ ухода. Имеющееся в пунктах проката оборудование позволяет родственникам адаптировать жилое помещение под нужды пожилого человека или инвалида и облегчает уход за ними. Квалифицированные преподаватели школ ухода бесплатно обучают родственников практическим навыкам ухода. Технические средства реабилитации и средства ухода также выдаются во временное пользование бесплатно. Ежегодно этими сервисами пользуется более 1 тысячи человек.</w:t>
      </w:r>
    </w:p>
    <w:p>
      <w:pPr>
        <w:pStyle w:val="0"/>
        <w:spacing w:before="200" w:lineRule="auto"/>
        <w:ind w:firstLine="540"/>
        <w:jc w:val="both"/>
      </w:pPr>
      <w:r>
        <w:rPr>
          <w:sz w:val="20"/>
        </w:rPr>
        <w:t xml:space="preserve">В случае невозможности осуществления ухода за гражданином родными и близкими или отсутствия родственников услуги по уходу предоставляются учреждениями социального обслуживания в стационарной форме и на дому. В 2025 году социальные услуги в рамках системы долговременного ухода получили 5703 человека или 29% от общего числа граждан, нуждающихся в уходе (федеральный показатель - 10,5%).</w:t>
      </w:r>
    </w:p>
    <w:p>
      <w:pPr>
        <w:pStyle w:val="0"/>
        <w:spacing w:before="200" w:lineRule="auto"/>
        <w:ind w:firstLine="540"/>
        <w:jc w:val="both"/>
      </w:pPr>
      <w:r>
        <w:rPr>
          <w:sz w:val="20"/>
        </w:rPr>
        <w:t xml:space="preserve">Одним из востребованных направлений работы с гражданами старшего поколения стала организация и проведение курсов компьютерной и финансовой грамотности, обучение работе с информационно-поисковыми сервисами, обучение на специальных курсах предпринимательской деятельности.</w:t>
      </w:r>
    </w:p>
    <w:p>
      <w:pPr>
        <w:pStyle w:val="0"/>
        <w:spacing w:before="200" w:lineRule="auto"/>
        <w:ind w:firstLine="540"/>
        <w:jc w:val="both"/>
      </w:pPr>
      <w:r>
        <w:rPr>
          <w:sz w:val="20"/>
        </w:rPr>
        <w:t xml:space="preserve">Ежегодно порядка 2000 граждан старшего поколения повышают свои знания в области компьютерной грамотности, использования иных электронных устройств. В целях получения не только новых навыков, но и защиты от мошенничества, граждане старшего поколения принимают активное участие в образовательных мероприятиях по повышению финансовой грамотности. Региональные команды становятся победителями и призерами Всероссийских чемпионатов по финансовой грамотности среди лиц пенсионного возраста.</w:t>
      </w:r>
    </w:p>
    <w:p>
      <w:pPr>
        <w:pStyle w:val="0"/>
        <w:spacing w:before="200" w:lineRule="auto"/>
        <w:ind w:firstLine="540"/>
        <w:jc w:val="both"/>
      </w:pPr>
      <w:r>
        <w:rPr>
          <w:sz w:val="20"/>
        </w:rPr>
        <w:t xml:space="preserve">Ежегодно увеличивается число граждан пожилого возраста, вовлеченных в регулярные физкультурно-оздоровительные занятия на спортивных объектах Тульской области.</w:t>
      </w:r>
    </w:p>
    <w:p>
      <w:pPr>
        <w:pStyle w:val="0"/>
        <w:spacing w:before="200" w:lineRule="auto"/>
        <w:ind w:firstLine="540"/>
        <w:jc w:val="both"/>
      </w:pPr>
      <w:r>
        <w:rPr>
          <w:sz w:val="20"/>
        </w:rPr>
        <w:t xml:space="preserve">На постоянной основе проводятся массовые физкультурные мероприятия регионального уровня: лыжня России, региональный фестиваль "Готов к труду и обороне" (далее - ГТО), спартакиады граждан пожилого возраста, Тульский полумарафон.</w:t>
      </w:r>
    </w:p>
    <w:p>
      <w:pPr>
        <w:pStyle w:val="0"/>
        <w:spacing w:before="200" w:lineRule="auto"/>
        <w:ind w:firstLine="540"/>
        <w:jc w:val="both"/>
      </w:pPr>
      <w:r>
        <w:rPr>
          <w:sz w:val="20"/>
        </w:rPr>
        <w:t xml:space="preserve">Возрастает количество граждан старшего поколения, посещающих культурно-досуговые и информационно-просветительские мероприятия.</w:t>
      </w:r>
    </w:p>
    <w:p>
      <w:pPr>
        <w:pStyle w:val="0"/>
        <w:spacing w:before="200" w:lineRule="auto"/>
        <w:ind w:firstLine="540"/>
        <w:jc w:val="both"/>
      </w:pPr>
      <w:r>
        <w:rPr>
          <w:sz w:val="20"/>
        </w:rPr>
        <w:t xml:space="preserve">На базе муниципальных культурно-досуговых учреждений работают более 700 клубных объединений для пожилых людей, которые ежемесячно посещают около 9 500 пожилых человек.</w:t>
      </w:r>
    </w:p>
    <w:p>
      <w:pPr>
        <w:pStyle w:val="0"/>
        <w:spacing w:before="200" w:lineRule="auto"/>
        <w:ind w:firstLine="540"/>
        <w:jc w:val="both"/>
      </w:pPr>
      <w:r>
        <w:rPr>
          <w:sz w:val="20"/>
        </w:rPr>
        <w:t xml:space="preserve">Особо популярными среди граждан старшего поколения стали "Школы здоровья", "Школы финансовой грамотности", региональный проект "Культурно-образовательная программа "СТАРШЕ-КРУЧЕ!", областной фестиваль творчества граждан старшего поколения "Золотой век таланта".</w:t>
      </w:r>
    </w:p>
    <w:p>
      <w:pPr>
        <w:pStyle w:val="0"/>
        <w:spacing w:before="200" w:lineRule="auto"/>
        <w:ind w:firstLine="540"/>
        <w:jc w:val="both"/>
      </w:pPr>
      <w:r>
        <w:rPr>
          <w:sz w:val="20"/>
        </w:rPr>
        <w:t xml:space="preserve">Функционирует официальный сайт долголетие71.рф, где размещена информация о мероприятиях, проводимых в муниципальных образованиях в рамках региональной </w:t>
      </w:r>
      <w:hyperlink w:history="0" r:id="rId26" w:tooltip="Постановление Правительства Тульской области от 29.01.2025 N 42 (ред. от 17.07.2026) &quot;Об утверждении Региональной программы &quot;Активное долголетие&quot; в Тульской области на 2025 - 2030 годы&quot; {КонсультантПлюс}">
        <w:r>
          <w:rPr>
            <w:sz w:val="20"/>
            <w:color w:val="0000ff"/>
          </w:rPr>
          <w:t xml:space="preserve">программы</w:t>
        </w:r>
      </w:hyperlink>
      <w:r>
        <w:rPr>
          <w:sz w:val="20"/>
        </w:rPr>
        <w:t xml:space="preserve"> "Активное долголетие".</w:t>
      </w:r>
    </w:p>
    <w:p>
      <w:pPr>
        <w:pStyle w:val="0"/>
        <w:spacing w:before="200" w:lineRule="auto"/>
        <w:ind w:firstLine="540"/>
        <w:jc w:val="both"/>
      </w:pPr>
      <w:r>
        <w:rPr>
          <w:sz w:val="20"/>
        </w:rPr>
        <w:t xml:space="preserve">На базе государственного учреждения Тульской области "Региональный центр "Развитие" созданы Центр компетенций по координации мероприятий указанной региональной программы и Центр активного долголетия.</w:t>
      </w:r>
    </w:p>
    <w:p>
      <w:pPr>
        <w:pStyle w:val="0"/>
        <w:spacing w:before="200" w:lineRule="auto"/>
        <w:ind w:firstLine="540"/>
        <w:jc w:val="both"/>
      </w:pPr>
      <w:r>
        <w:rPr>
          <w:sz w:val="20"/>
        </w:rPr>
        <w:t xml:space="preserve">Всего в 2025 году мероприятиями региональной </w:t>
      </w:r>
      <w:hyperlink w:history="0" r:id="rId27" w:tooltip="Постановление Правительства Тульской области от 29.01.2025 N 42 (ред. от 17.07.2026) &quot;Об утверждении Региональной программы &quot;Активное долголетие&quot; в Тульской области на 2025 - 2030 годы&quot; {КонсультантПлюс}">
        <w:r>
          <w:rPr>
            <w:sz w:val="20"/>
            <w:color w:val="0000ff"/>
          </w:rPr>
          <w:t xml:space="preserve">программы</w:t>
        </w:r>
      </w:hyperlink>
      <w:r>
        <w:rPr>
          <w:sz w:val="20"/>
        </w:rPr>
        <w:t xml:space="preserve"> "Активное долголетие" охвачено более 166 тысяч граждан старшего поколения.</w:t>
      </w:r>
    </w:p>
    <w:p>
      <w:pPr>
        <w:pStyle w:val="0"/>
        <w:spacing w:before="200" w:lineRule="auto"/>
        <w:ind w:firstLine="540"/>
        <w:jc w:val="both"/>
      </w:pPr>
      <w:r>
        <w:rPr>
          <w:sz w:val="20"/>
        </w:rPr>
        <w:t xml:space="preserve">Стратегическая цель - создание условий для активной и продуктивной жизни пожилых людей, обеспечивающих возможность самореализации, физического и духовного здоровья, комфортной социальной среды и достойного уровня жизни.</w:t>
      </w:r>
    </w:p>
    <w:p>
      <w:pPr>
        <w:pStyle w:val="0"/>
        <w:spacing w:before="200" w:lineRule="auto"/>
        <w:ind w:firstLine="540"/>
        <w:jc w:val="both"/>
      </w:pPr>
      <w:r>
        <w:rPr>
          <w:sz w:val="20"/>
        </w:rPr>
        <w:t xml:space="preserve">Достижению поставленной цели будет способствовать решение ряда задач:</w:t>
      </w:r>
    </w:p>
    <w:p>
      <w:pPr>
        <w:pStyle w:val="0"/>
        <w:spacing w:before="200" w:lineRule="auto"/>
        <w:ind w:firstLine="540"/>
        <w:jc w:val="both"/>
      </w:pPr>
      <w:r>
        <w:rPr>
          <w:sz w:val="20"/>
        </w:rPr>
        <w:t xml:space="preserve">развитие социальных услуг для граждан старшего поколения, продлевающих их здоровую жизнь и обеспечивающих качественный уход;</w:t>
      </w:r>
    </w:p>
    <w:p>
      <w:pPr>
        <w:pStyle w:val="0"/>
        <w:spacing w:before="200" w:lineRule="auto"/>
        <w:ind w:firstLine="540"/>
        <w:jc w:val="both"/>
      </w:pPr>
      <w:r>
        <w:rPr>
          <w:sz w:val="20"/>
        </w:rPr>
        <w:t xml:space="preserve">совершенствование организации оказания медицинской помощи гражданам пожилого возраста, в том числе по профилю "гериатрия";</w:t>
      </w:r>
    </w:p>
    <w:p>
      <w:pPr>
        <w:pStyle w:val="0"/>
        <w:spacing w:before="200" w:lineRule="auto"/>
        <w:ind w:firstLine="540"/>
        <w:jc w:val="both"/>
      </w:pPr>
      <w:r>
        <w:rPr>
          <w:sz w:val="20"/>
        </w:rPr>
        <w:t xml:space="preserve">создание условий для реализации личностного потенциала;</w:t>
      </w:r>
    </w:p>
    <w:p>
      <w:pPr>
        <w:pStyle w:val="0"/>
        <w:spacing w:before="200" w:lineRule="auto"/>
        <w:ind w:firstLine="540"/>
        <w:jc w:val="both"/>
      </w:pPr>
      <w:r>
        <w:rPr>
          <w:sz w:val="20"/>
        </w:rPr>
        <w:t xml:space="preserve">развитие инфраструктуры для качественной и безопасной жизни граждан старшего поколения.</w:t>
      </w:r>
    </w:p>
    <w:p>
      <w:pPr>
        <w:pStyle w:val="0"/>
        <w:spacing w:before="200" w:lineRule="auto"/>
        <w:ind w:firstLine="540"/>
        <w:jc w:val="both"/>
      </w:pPr>
      <w:r>
        <w:rPr>
          <w:sz w:val="20"/>
        </w:rPr>
        <w:t xml:space="preserve">Для выполнения поставленных задач запланированы следующие мероприятия:</w:t>
      </w:r>
    </w:p>
    <w:p>
      <w:pPr>
        <w:pStyle w:val="0"/>
        <w:spacing w:before="200" w:lineRule="auto"/>
        <w:ind w:firstLine="540"/>
        <w:jc w:val="both"/>
      </w:pPr>
      <w:r>
        <w:rPr>
          <w:sz w:val="20"/>
        </w:rPr>
        <w:t xml:space="preserve">организация туристско-экскурсионных маршрутов, автобусных туров и походов выходного дня;</w:t>
      </w:r>
    </w:p>
    <w:p>
      <w:pPr>
        <w:pStyle w:val="0"/>
        <w:spacing w:before="200" w:lineRule="auto"/>
        <w:ind w:firstLine="540"/>
        <w:jc w:val="both"/>
      </w:pPr>
      <w:r>
        <w:rPr>
          <w:sz w:val="20"/>
        </w:rPr>
        <w:t xml:space="preserve">организация доступных форм двигательной активности, развитие доступных видов спорта и физкультуры для пожилых людей;</w:t>
      </w:r>
    </w:p>
    <w:p>
      <w:pPr>
        <w:pStyle w:val="0"/>
        <w:spacing w:before="200" w:lineRule="auto"/>
        <w:ind w:firstLine="540"/>
        <w:jc w:val="both"/>
      </w:pPr>
      <w:r>
        <w:rPr>
          <w:sz w:val="20"/>
        </w:rPr>
        <w:t xml:space="preserve">организация кружков и студий, театральных представлений, концертов и праздничных мероприятий, рассчитанных на аудиторию старшего возраста;</w:t>
      </w:r>
    </w:p>
    <w:p>
      <w:pPr>
        <w:pStyle w:val="0"/>
        <w:spacing w:before="200" w:lineRule="auto"/>
        <w:ind w:firstLine="540"/>
        <w:jc w:val="both"/>
      </w:pPr>
      <w:r>
        <w:rPr>
          <w:sz w:val="20"/>
        </w:rPr>
        <w:t xml:space="preserve">организация психологической помощи и поддержки граждан старшего поколения;</w:t>
      </w:r>
    </w:p>
    <w:p>
      <w:pPr>
        <w:pStyle w:val="0"/>
        <w:spacing w:before="200" w:lineRule="auto"/>
        <w:ind w:firstLine="540"/>
        <w:jc w:val="both"/>
      </w:pPr>
      <w:r>
        <w:rPr>
          <w:sz w:val="20"/>
        </w:rPr>
        <w:t xml:space="preserve">обучение граждан старшего поколения новым профессиям, помощь в поиске подходящей работы и создании собственного дела;</w:t>
      </w:r>
    </w:p>
    <w:p>
      <w:pPr>
        <w:pStyle w:val="0"/>
        <w:spacing w:before="200" w:lineRule="auto"/>
        <w:ind w:firstLine="540"/>
        <w:jc w:val="both"/>
      </w:pPr>
      <w:r>
        <w:rPr>
          <w:sz w:val="20"/>
        </w:rPr>
        <w:t xml:space="preserve">повышение доступности медицинской помощи для граждан старшего поколения, в том числе на дому, организация регулярной диспансеризации и профилактических мероприятий;</w:t>
      </w:r>
    </w:p>
    <w:p>
      <w:pPr>
        <w:pStyle w:val="0"/>
        <w:spacing w:before="200" w:lineRule="auto"/>
        <w:ind w:firstLine="540"/>
        <w:jc w:val="both"/>
      </w:pPr>
      <w:r>
        <w:rPr>
          <w:sz w:val="20"/>
        </w:rPr>
        <w:t xml:space="preserve">обеспечение приспособленности жилищного фонда и социально значимых объектов для использования гражданами старшего поколения, включая установку перил, поручней, козырьков над подъездами, пандусов, создание понятной навигации в населенных пунктах и в зданиях социально значимых объектов;</w:t>
      </w:r>
    </w:p>
    <w:p>
      <w:pPr>
        <w:pStyle w:val="0"/>
        <w:spacing w:before="200" w:lineRule="auto"/>
        <w:ind w:firstLine="540"/>
        <w:jc w:val="both"/>
      </w:pPr>
      <w:r>
        <w:rPr>
          <w:sz w:val="20"/>
        </w:rPr>
        <w:t xml:space="preserve">благоустройство общественных территорий, включая придомовые территории, с учетом потребностей граждан старшего поколения;</w:t>
      </w:r>
    </w:p>
    <w:p>
      <w:pPr>
        <w:pStyle w:val="0"/>
        <w:spacing w:before="200" w:lineRule="auto"/>
        <w:ind w:firstLine="540"/>
        <w:jc w:val="both"/>
      </w:pPr>
      <w:r>
        <w:rPr>
          <w:sz w:val="20"/>
        </w:rPr>
        <w:t xml:space="preserve">совершенствование системы социального обслуживания граждан и пожилого возраста и инвалидов;</w:t>
      </w:r>
    </w:p>
    <w:p>
      <w:pPr>
        <w:pStyle w:val="0"/>
        <w:spacing w:before="200" w:lineRule="auto"/>
        <w:ind w:firstLine="540"/>
        <w:jc w:val="both"/>
      </w:pPr>
      <w:r>
        <w:rPr>
          <w:sz w:val="20"/>
        </w:rPr>
        <w:t xml:space="preserve">укрепление кадровой обеспеченности организаций социального обслуживания;</w:t>
      </w:r>
    </w:p>
    <w:p>
      <w:pPr>
        <w:pStyle w:val="0"/>
        <w:spacing w:before="200" w:lineRule="auto"/>
        <w:ind w:firstLine="540"/>
        <w:jc w:val="both"/>
      </w:pPr>
      <w:r>
        <w:rPr>
          <w:sz w:val="20"/>
        </w:rPr>
        <w:t xml:space="preserve">обучение работников, участвующих в организации и оказании социальных услуг по уходу, а также обеспечивающих функционирование системы долговременного ухода, по программам дополнительного профессионального образования;</w:t>
      </w:r>
    </w:p>
    <w:p>
      <w:pPr>
        <w:pStyle w:val="0"/>
        <w:spacing w:before="200" w:lineRule="auto"/>
        <w:ind w:firstLine="540"/>
        <w:jc w:val="both"/>
      </w:pPr>
      <w:r>
        <w:rPr>
          <w:sz w:val="20"/>
        </w:rPr>
        <w:t xml:space="preserve">привлечение добровольцев к уходу за больными и одинокими людьми, помощи в быту и проведении досуга.</w:t>
      </w:r>
    </w:p>
    <w:p>
      <w:pPr>
        <w:pStyle w:val="0"/>
      </w:pPr>
      <w:r>
        <w:rPr>
          <w:sz w:val="20"/>
        </w:rPr>
      </w:r>
    </w:p>
    <w:p>
      <w:pPr>
        <w:pStyle w:val="2"/>
        <w:outlineLvl w:val="2"/>
        <w:jc w:val="center"/>
      </w:pPr>
      <w:r>
        <w:rPr>
          <w:sz w:val="20"/>
        </w:rPr>
        <w:t xml:space="preserve">4.8. Поддержка инвалидов</w:t>
      </w:r>
    </w:p>
    <w:p>
      <w:pPr>
        <w:pStyle w:val="0"/>
      </w:pPr>
      <w:r>
        <w:rPr>
          <w:sz w:val="20"/>
        </w:rPr>
      </w:r>
    </w:p>
    <w:p>
      <w:pPr>
        <w:pStyle w:val="0"/>
        <w:ind w:firstLine="540"/>
        <w:jc w:val="both"/>
      </w:pPr>
      <w:r>
        <w:rPr>
          <w:sz w:val="20"/>
        </w:rPr>
        <w:t xml:space="preserve">Одной из важнейших задач социальной политики является создание условий для интеграции инвалидов в общество, обеспечение им равных возможностей в учебе, труде и социальной жизни. Доступная среда, отсутствие барьеров и инклюзивность становятся основными элементами политики в отношении инвалидов.</w:t>
      </w:r>
    </w:p>
    <w:p>
      <w:pPr>
        <w:pStyle w:val="0"/>
        <w:spacing w:before="200" w:lineRule="auto"/>
        <w:ind w:firstLine="540"/>
        <w:jc w:val="both"/>
      </w:pPr>
      <w:r>
        <w:rPr>
          <w:sz w:val="20"/>
        </w:rPr>
        <w:t xml:space="preserve">В Тульской области активно реализуются программы по реабилитации и абилитации инвалидов, в том числе по принципам бесшовной возрастной преемственности, подразумевающей сопровождение инвалида с момента установления диагноза на протяжении всего периода инвалидности. В регионе проживает более 137 тыс. инвалидов, из них 5,5 тыс. детей-инвалидов. Реализацию и координацию деятельности по оказанию услуг по различным направлениям комплексной реабилитации и абилитации инвалидов в Тульской области осуществляет многопрофильный многофункциональный центр для инвалидов и лиц с ограниченными возможностями здоровья - государственное учреждение Тульской области "Тульский областной центр реабилитации инвалидов", с состав которого входят ситуационный центр по работе с инвалидами, отделения ранней помощи, стационарное и полустационарные отделения социальной реабилитации детей-инвалидов, стационарное и полустационарное отделения социальной реабилитации молодых инвалидов, социально-медицинские отделения, отделение сопровождаемого проживания, отделение обеспечения техническими средства реабилитации.</w:t>
      </w:r>
    </w:p>
    <w:p>
      <w:pPr>
        <w:pStyle w:val="0"/>
        <w:spacing w:before="200" w:lineRule="auto"/>
        <w:ind w:firstLine="540"/>
        <w:jc w:val="both"/>
      </w:pPr>
      <w:r>
        <w:rPr>
          <w:sz w:val="20"/>
        </w:rPr>
        <w:t xml:space="preserve">Предусматривается формирование и развитие системы предоставления услуг по комплексной реабилитации и абилитации инвалидов, ранней помощи детям и их семьям на территории Тульской области. Реализация данного направления предусматривает повышение доступности и качества реабилитационных услуг, развитие межведомственного взаимодействия (социальная защита, здравоохранение, образование, занятость, спорт, культура), внедрение маршрутного сопровождения получателей услуг и расширение информирования инвалидов и членов их семей по вопросам реабилитации и абилитации, включая доступные цифровые каналы и консультационные сервисы.</w:t>
      </w:r>
    </w:p>
    <w:p>
      <w:pPr>
        <w:pStyle w:val="0"/>
        <w:spacing w:before="200" w:lineRule="auto"/>
        <w:ind w:firstLine="540"/>
        <w:jc w:val="both"/>
      </w:pPr>
      <w:r>
        <w:rPr>
          <w:sz w:val="20"/>
        </w:rPr>
        <w:t xml:space="preserve">Особое внимание заслуживает спорт как средство социальной реабилитации и интеграции инвалидов. Спортивные соревнования и физкультурно-оздоровительная деятельность положительно влияют на физическое и эмоциональное самочувствие инвалидов, формируют положительный образ жизни и повышают уверенность в себе.</w:t>
      </w:r>
    </w:p>
    <w:p>
      <w:pPr>
        <w:pStyle w:val="0"/>
        <w:spacing w:before="200" w:lineRule="auto"/>
        <w:ind w:firstLine="540"/>
        <w:jc w:val="both"/>
      </w:pPr>
      <w:r>
        <w:rPr>
          <w:sz w:val="20"/>
        </w:rPr>
        <w:t xml:space="preserve">Стратегическая цель - создание доступной среды и обеспечение равных возможностей инвалидам в Тульской области для реализации личностного и профессионального потенциала, интеграции в общественное производство и социальную жизнь.</w:t>
      </w:r>
    </w:p>
    <w:p>
      <w:pPr>
        <w:pStyle w:val="0"/>
        <w:spacing w:before="200" w:lineRule="auto"/>
        <w:ind w:firstLine="540"/>
        <w:jc w:val="both"/>
      </w:pPr>
      <w:r>
        <w:rPr>
          <w:sz w:val="20"/>
        </w:rPr>
        <w:t xml:space="preserve">Достижению поставленной цели будет способствовать решение ряда задач:</w:t>
      </w:r>
    </w:p>
    <w:p>
      <w:pPr>
        <w:pStyle w:val="0"/>
        <w:spacing w:before="200" w:lineRule="auto"/>
        <w:ind w:firstLine="540"/>
        <w:jc w:val="both"/>
      </w:pPr>
      <w:r>
        <w:rPr>
          <w:sz w:val="20"/>
        </w:rPr>
        <w:t xml:space="preserve">создание удобной городской среды, транспорта, жилых зданий и других объектов, приспособленных для свободного передвижения и пребывания инвалидов;</w:t>
      </w:r>
    </w:p>
    <w:p>
      <w:pPr>
        <w:pStyle w:val="0"/>
        <w:spacing w:before="200" w:lineRule="auto"/>
        <w:ind w:firstLine="540"/>
        <w:jc w:val="both"/>
      </w:pPr>
      <w:r>
        <w:rPr>
          <w:sz w:val="20"/>
        </w:rPr>
        <w:t xml:space="preserve">обеспечение доступа инвалидов к качественному общему и профессиональному образованию, удаленным формам обучения и стажировкам;</w:t>
      </w:r>
    </w:p>
    <w:p>
      <w:pPr>
        <w:pStyle w:val="0"/>
        <w:spacing w:before="200" w:lineRule="auto"/>
        <w:ind w:firstLine="540"/>
        <w:jc w:val="both"/>
      </w:pPr>
      <w:r>
        <w:rPr>
          <w:sz w:val="20"/>
        </w:rPr>
        <w:t xml:space="preserve">содействие трудоустройству инвалидов, организация профессиональных консультаций и карьерного роста;</w:t>
      </w:r>
    </w:p>
    <w:p>
      <w:pPr>
        <w:pStyle w:val="0"/>
        <w:spacing w:before="200" w:lineRule="auto"/>
        <w:ind w:firstLine="540"/>
        <w:jc w:val="both"/>
      </w:pPr>
      <w:r>
        <w:rPr>
          <w:sz w:val="20"/>
        </w:rPr>
        <w:t xml:space="preserve">создание условий для занятий спортом и физической культурой, развитие паралимпийского спорта и соревнований для инвалидов;</w:t>
      </w:r>
    </w:p>
    <w:p>
      <w:pPr>
        <w:pStyle w:val="0"/>
        <w:spacing w:before="200" w:lineRule="auto"/>
        <w:ind w:firstLine="540"/>
        <w:jc w:val="both"/>
      </w:pPr>
      <w:r>
        <w:rPr>
          <w:sz w:val="20"/>
        </w:rPr>
        <w:t xml:space="preserve">повышение информированности населения о правах инвалидов, контроль соблюдения антидискриминационного законодательства;</w:t>
      </w:r>
    </w:p>
    <w:p>
      <w:pPr>
        <w:pStyle w:val="0"/>
        <w:spacing w:before="200" w:lineRule="auto"/>
        <w:ind w:firstLine="540"/>
        <w:jc w:val="both"/>
      </w:pPr>
      <w:r>
        <w:rPr>
          <w:sz w:val="20"/>
        </w:rPr>
        <w:t xml:space="preserve">обеспечение доступной информации и коммуникационных технологий для инвалидов с нарушением зрения и слуха.</w:t>
      </w:r>
    </w:p>
    <w:p>
      <w:pPr>
        <w:pStyle w:val="0"/>
        <w:spacing w:before="200" w:lineRule="auto"/>
        <w:ind w:firstLine="540"/>
        <w:jc w:val="both"/>
      </w:pPr>
      <w:r>
        <w:rPr>
          <w:sz w:val="20"/>
        </w:rPr>
        <w:t xml:space="preserve">Основные меры, направленные на совершенствование системы социальной защиты, в том числе в части создания безбарьерной среды предоставления услуг по реабилитации и абилитации инвалидов, ранней помощи, сопровождаемому проживанию:</w:t>
      </w:r>
    </w:p>
    <w:p>
      <w:pPr>
        <w:pStyle w:val="0"/>
        <w:spacing w:before="200" w:lineRule="auto"/>
        <w:ind w:firstLine="540"/>
        <w:jc w:val="both"/>
      </w:pPr>
      <w:r>
        <w:rPr>
          <w:sz w:val="20"/>
        </w:rPr>
        <w:t xml:space="preserve">разработка системы "Цифровой двойник гражданина с ограниченными возможностями", в целях перехода от фрагментарного учета к комплексному управлению жизненным циклом поддержки граждан с ограниченными возможностями. Система будет агрегировать актуальные данные в едином профиле, обеспечивая мониторинг ключевых показателей;</w:t>
      </w:r>
    </w:p>
    <w:p>
      <w:pPr>
        <w:pStyle w:val="0"/>
        <w:spacing w:before="200" w:lineRule="auto"/>
        <w:ind w:firstLine="540"/>
        <w:jc w:val="both"/>
      </w:pPr>
      <w:r>
        <w:rPr>
          <w:sz w:val="20"/>
        </w:rPr>
        <w:t xml:space="preserve">осуществление предусмотренных индивидуальными программами мероприятий по реабилитации и абилитации инвалидов, в том числе детей-инвалидов;</w:t>
      </w:r>
    </w:p>
    <w:p>
      <w:pPr>
        <w:pStyle w:val="0"/>
        <w:spacing w:before="200" w:lineRule="auto"/>
        <w:ind w:firstLine="540"/>
        <w:jc w:val="both"/>
      </w:pPr>
      <w:r>
        <w:rPr>
          <w:sz w:val="20"/>
        </w:rPr>
        <w:t xml:space="preserve">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w:t>
      </w:r>
    </w:p>
    <w:p>
      <w:pPr>
        <w:pStyle w:val="0"/>
        <w:spacing w:before="200" w:lineRule="auto"/>
        <w:ind w:firstLine="540"/>
        <w:jc w:val="both"/>
      </w:pPr>
      <w:r>
        <w:rPr>
          <w:sz w:val="20"/>
        </w:rPr>
        <w:t xml:space="preserve">обеспечение инвалидов необходимыми техническими средствами реабилитации;</w:t>
      </w:r>
    </w:p>
    <w:p>
      <w:pPr>
        <w:pStyle w:val="0"/>
        <w:spacing w:before="200" w:lineRule="auto"/>
        <w:ind w:firstLine="540"/>
        <w:jc w:val="both"/>
      </w:pPr>
      <w:r>
        <w:rPr>
          <w:sz w:val="20"/>
        </w:rPr>
        <w:t xml:space="preserve">реализация комплекса мероприятий и услуг по оказанию ранней помощи детям и их семьям;</w:t>
      </w:r>
    </w:p>
    <w:p>
      <w:pPr>
        <w:pStyle w:val="0"/>
        <w:spacing w:before="200" w:lineRule="auto"/>
        <w:ind w:firstLine="540"/>
        <w:jc w:val="both"/>
      </w:pPr>
      <w:r>
        <w:rPr>
          <w:sz w:val="20"/>
        </w:rPr>
        <w:t xml:space="preserve">открытие новых филиалов Государственного учреждения Тульской области "Тульский областной центр реабилитации инвалидов";</w:t>
      </w:r>
    </w:p>
    <w:p>
      <w:pPr>
        <w:pStyle w:val="0"/>
        <w:spacing w:before="200" w:lineRule="auto"/>
        <w:ind w:firstLine="540"/>
        <w:jc w:val="both"/>
      </w:pPr>
      <w:r>
        <w:rPr>
          <w:sz w:val="20"/>
        </w:rPr>
        <w:t xml:space="preserve">создание реабилитационного центра высокотехнологичного протезирования;</w:t>
      </w:r>
    </w:p>
    <w:p>
      <w:pPr>
        <w:pStyle w:val="0"/>
        <w:spacing w:before="200" w:lineRule="auto"/>
        <w:ind w:firstLine="540"/>
        <w:jc w:val="both"/>
      </w:pPr>
      <w:r>
        <w:rPr>
          <w:sz w:val="20"/>
        </w:rPr>
        <w:t xml:space="preserve">совершенствование межведомственного взаимодействия различных служб, организации процесса социального обслуживания, реализации программ по реабилитации и абилитации;</w:t>
      </w:r>
    </w:p>
    <w:p>
      <w:pPr>
        <w:pStyle w:val="0"/>
        <w:spacing w:before="200" w:lineRule="auto"/>
        <w:ind w:firstLine="540"/>
        <w:jc w:val="both"/>
      </w:pPr>
      <w:r>
        <w:rPr>
          <w:sz w:val="20"/>
        </w:rPr>
        <w:t xml:space="preserve">реализация инициатив комиссии Государственного Совета Российской Федерации по направлению "Физическая культура и спорт". Мероприятия, разработанные в рамках работы комиссии, обеспечат спортивные тренировки и участие инвалидов в соревнованиях различного уровня, а также интеграцию инвалидов в спортивный мир, улучшат их физическую подготовленность.</w:t>
      </w:r>
    </w:p>
    <w:p>
      <w:pPr>
        <w:pStyle w:val="0"/>
      </w:pPr>
      <w:r>
        <w:rPr>
          <w:sz w:val="20"/>
        </w:rPr>
      </w:r>
    </w:p>
    <w:p>
      <w:pPr>
        <w:pStyle w:val="2"/>
        <w:outlineLvl w:val="2"/>
        <w:jc w:val="center"/>
      </w:pPr>
      <w:r>
        <w:rPr>
          <w:sz w:val="20"/>
        </w:rPr>
        <w:t xml:space="preserve">4.9. Поддержка участников специальной военной операции,</w:t>
      </w:r>
    </w:p>
    <w:p>
      <w:pPr>
        <w:pStyle w:val="2"/>
        <w:jc w:val="center"/>
      </w:pPr>
      <w:r>
        <w:rPr>
          <w:sz w:val="20"/>
        </w:rPr>
        <w:t xml:space="preserve">ветеранов боевых действий и членов их семей</w:t>
      </w:r>
    </w:p>
    <w:p>
      <w:pPr>
        <w:pStyle w:val="0"/>
      </w:pPr>
      <w:r>
        <w:rPr>
          <w:sz w:val="20"/>
        </w:rPr>
      </w:r>
    </w:p>
    <w:p>
      <w:pPr>
        <w:pStyle w:val="0"/>
        <w:ind w:firstLine="540"/>
        <w:jc w:val="both"/>
      </w:pPr>
      <w:r>
        <w:rPr>
          <w:sz w:val="20"/>
        </w:rPr>
        <w:t xml:space="preserve">В Тульской области проживает значительное число военнослужащих, ветеранов боевых действий и участников военных операций, внесших значительный вклад в оборону и безопасность страны.</w:t>
      </w:r>
    </w:p>
    <w:p>
      <w:pPr>
        <w:pStyle w:val="0"/>
        <w:spacing w:before="200" w:lineRule="auto"/>
        <w:ind w:firstLine="540"/>
        <w:jc w:val="both"/>
      </w:pPr>
      <w:r>
        <w:rPr>
          <w:sz w:val="20"/>
        </w:rPr>
        <w:t xml:space="preserve">Для оказания помощи действующим участникам специальной военной операции (далее - СВО) и их семьям, а также ветеранам иных локальных конфликтов в Тульской области открыт центр поддержки "Герой 71", в котором в режиме "одного окна" действующие участники СВО и их семьи, ветераны боевых действий, а также участники иных локальных конфликтов получают широкий спектр услуг - от юридических консультаций до практической помощи в любых вопросах.</w:t>
      </w:r>
    </w:p>
    <w:p>
      <w:pPr>
        <w:pStyle w:val="0"/>
        <w:spacing w:before="200" w:lineRule="auto"/>
        <w:ind w:firstLine="540"/>
        <w:jc w:val="both"/>
      </w:pPr>
      <w:r>
        <w:rPr>
          <w:sz w:val="20"/>
        </w:rPr>
        <w:t xml:space="preserve">Целевая аудитория Центра - примерно 10,7 тысяч семей участников СВО и более 13 тысяч ветеранов иных локальных конфликтов.</w:t>
      </w:r>
    </w:p>
    <w:p>
      <w:pPr>
        <w:pStyle w:val="0"/>
        <w:spacing w:before="200" w:lineRule="auto"/>
        <w:ind w:firstLine="540"/>
        <w:jc w:val="both"/>
      </w:pPr>
      <w:r>
        <w:rPr>
          <w:sz w:val="20"/>
        </w:rPr>
        <w:t xml:space="preserve">В конце 2025 года дополнительно открыто пять межмуниципальных филиалов Центра "Герой 71", расположенных в городе Киреевске, городе Ефремове, городе Алексине, городе Новомосковске и городе Суворове.</w:t>
      </w:r>
    </w:p>
    <w:p>
      <w:pPr>
        <w:pStyle w:val="0"/>
        <w:spacing w:before="200" w:lineRule="auto"/>
        <w:ind w:firstLine="540"/>
        <w:jc w:val="both"/>
      </w:pPr>
      <w:r>
        <w:rPr>
          <w:sz w:val="20"/>
        </w:rPr>
        <w:t xml:space="preserve">Проект "Герой 71" предоставляет возможность для участников СВО реализовать себя по 15 направлениям, в том числе в сельском хозяйстве, работе с молодежью, политике, общественной деятельности, обеспечении безопасности жителей Тульской области и адаптивном спорте.</w:t>
      </w:r>
    </w:p>
    <w:p>
      <w:pPr>
        <w:pStyle w:val="0"/>
        <w:spacing w:before="200" w:lineRule="auto"/>
        <w:ind w:firstLine="540"/>
        <w:jc w:val="both"/>
      </w:pPr>
      <w:r>
        <w:rPr>
          <w:sz w:val="20"/>
        </w:rPr>
        <w:t xml:space="preserve">Подано порядка 2232 заявок от 1372 участников СВО, более 70% из них - действующие военнослужащие, которые планируют свое возвращение к мирной жизни. Участники СВО включены в резерв управленческих кадров Тульской области, трудоустроены в подведомственные учреждения регионального и муниципального уровня, ряд участников СВО стали депутатами Тульской областной Думы, городской Думы.</w:t>
      </w:r>
    </w:p>
    <w:p>
      <w:pPr>
        <w:pStyle w:val="0"/>
        <w:spacing w:before="200" w:lineRule="auto"/>
        <w:ind w:firstLine="540"/>
        <w:jc w:val="both"/>
      </w:pPr>
      <w:r>
        <w:rPr>
          <w:sz w:val="20"/>
        </w:rPr>
        <w:t xml:space="preserve">В Тульской области трудоустроено 74% участников СВО, 60% из них устроились работать в новые места, еще 40% вернулись на прежнее место работы.</w:t>
      </w:r>
    </w:p>
    <w:p>
      <w:pPr>
        <w:pStyle w:val="0"/>
        <w:spacing w:before="200" w:lineRule="auto"/>
        <w:ind w:firstLine="540"/>
        <w:jc w:val="both"/>
      </w:pPr>
      <w:r>
        <w:rPr>
          <w:sz w:val="20"/>
        </w:rPr>
        <w:t xml:space="preserve">Создан центр маршрутизации участников СВО. Доля учреждений, оснащаемых медицинским оборудованием для проведения "медицинской реабилитации" - 100%. Граждане, уволенные по состоянию здоровья с военной службы, получившие ранения в ходе СВО, направляются на консультацию врача-реабилитолога в клинико-диагностический центр Государственного учреждения здравоохранения "Тульская областная клиническая больница", и при наличии показаний к реабилитации и реабилитационного потенциала госпитализируются согласно профилю (нарушение функции периферической нервной системы, нарушение функции центральной нервной системы, соматическая реабилитация). В первоочередном порядке комплекс реабилитационных услуг оказывается участникам СВО, а также членам их семей на базе филиала "Госпиталь ветеранов войн и труда" Государственного учреждения здравоохранения Тульской области "Тульская областная клиническая больница".</w:t>
      </w:r>
    </w:p>
    <w:p>
      <w:pPr>
        <w:pStyle w:val="0"/>
        <w:spacing w:before="200" w:lineRule="auto"/>
        <w:ind w:firstLine="540"/>
        <w:jc w:val="both"/>
      </w:pPr>
      <w:r>
        <w:rPr>
          <w:sz w:val="20"/>
        </w:rPr>
        <w:t xml:space="preserve">Стратегическая цель развития системы поддержки участников СВО, ветеранов боевых действий и их семей - постоянное сопровождение и поддержка участников СВО и членов их семей, ветеранов боевых действий, в том числе обеспечение их особых потребностей в получении мер социальной поддержки, помощи в трудоустройстве, обучении и переобучении, медицинской реабилитации, юридической и психологической помощи.</w:t>
      </w:r>
    </w:p>
    <w:p>
      <w:pPr>
        <w:pStyle w:val="0"/>
        <w:spacing w:before="200" w:lineRule="auto"/>
        <w:ind w:firstLine="540"/>
        <w:jc w:val="both"/>
      </w:pPr>
      <w:r>
        <w:rPr>
          <w:sz w:val="20"/>
        </w:rPr>
        <w:t xml:space="preserve">Достижению поставленной цели будет способствовать решение следующих задач:</w:t>
      </w:r>
    </w:p>
    <w:p>
      <w:pPr>
        <w:pStyle w:val="0"/>
        <w:spacing w:before="200" w:lineRule="auto"/>
        <w:ind w:firstLine="540"/>
        <w:jc w:val="both"/>
      </w:pPr>
      <w:r>
        <w:rPr>
          <w:sz w:val="20"/>
        </w:rPr>
        <w:t xml:space="preserve">повышение размеров пенсий и социальных выплат, оказание адресной материальной помощи;</w:t>
      </w:r>
    </w:p>
    <w:p>
      <w:pPr>
        <w:pStyle w:val="0"/>
        <w:spacing w:before="200" w:lineRule="auto"/>
        <w:ind w:firstLine="540"/>
        <w:jc w:val="both"/>
      </w:pPr>
      <w:r>
        <w:rPr>
          <w:sz w:val="20"/>
        </w:rPr>
        <w:t xml:space="preserve">предоставление качественной медицинской помощи, протезирования, восстановление здоровья и работоспособности;</w:t>
      </w:r>
    </w:p>
    <w:p>
      <w:pPr>
        <w:pStyle w:val="0"/>
        <w:spacing w:before="200" w:lineRule="auto"/>
        <w:ind w:firstLine="540"/>
        <w:jc w:val="both"/>
      </w:pPr>
      <w:r>
        <w:rPr>
          <w:sz w:val="20"/>
        </w:rPr>
        <w:t xml:space="preserve">оказание психологической помощи, реабилитация участников боевых действий, страдающих посттравматическим синдромом;</w:t>
      </w:r>
    </w:p>
    <w:p>
      <w:pPr>
        <w:pStyle w:val="0"/>
        <w:spacing w:before="200" w:lineRule="auto"/>
        <w:ind w:firstLine="540"/>
        <w:jc w:val="both"/>
      </w:pPr>
      <w:r>
        <w:rPr>
          <w:sz w:val="20"/>
        </w:rPr>
        <w:t xml:space="preserve">оказание материальной помощи семьям погибших, содействие в решении жилищных и бытовых проблем;</w:t>
      </w:r>
    </w:p>
    <w:p>
      <w:pPr>
        <w:pStyle w:val="0"/>
        <w:spacing w:before="200" w:lineRule="auto"/>
        <w:ind w:firstLine="540"/>
        <w:jc w:val="both"/>
      </w:pPr>
      <w:r>
        <w:rPr>
          <w:sz w:val="20"/>
        </w:rPr>
        <w:t xml:space="preserve">обеспечение профессиональной переподготовки, трудоустройства и создания рабочих мест для ветеранов;</w:t>
      </w:r>
    </w:p>
    <w:p>
      <w:pPr>
        <w:pStyle w:val="0"/>
        <w:spacing w:before="200" w:lineRule="auto"/>
        <w:ind w:firstLine="540"/>
        <w:jc w:val="both"/>
      </w:pPr>
      <w:r>
        <w:rPr>
          <w:sz w:val="20"/>
        </w:rPr>
        <w:t xml:space="preserve">установка памятников и мемориальных досок, увековечивающих подвиг защитников Отечества.</w:t>
      </w:r>
    </w:p>
    <w:p>
      <w:pPr>
        <w:pStyle w:val="0"/>
        <w:spacing w:before="200" w:lineRule="auto"/>
        <w:ind w:firstLine="540"/>
        <w:jc w:val="both"/>
      </w:pPr>
      <w:r>
        <w:rPr>
          <w:sz w:val="20"/>
        </w:rPr>
        <w:t xml:space="preserve">Мероприятия, направленные на достижение задач:</w:t>
      </w:r>
    </w:p>
    <w:p>
      <w:pPr>
        <w:pStyle w:val="0"/>
        <w:spacing w:before="200" w:lineRule="auto"/>
        <w:ind w:firstLine="540"/>
        <w:jc w:val="both"/>
      </w:pPr>
      <w:r>
        <w:rPr>
          <w:sz w:val="20"/>
        </w:rPr>
        <w:t xml:space="preserve">оказание содействия в трудоустройстве и переобучении органами занятости населения участников СВО;</w:t>
      </w:r>
    </w:p>
    <w:p>
      <w:pPr>
        <w:pStyle w:val="0"/>
        <w:spacing w:before="200" w:lineRule="auto"/>
        <w:ind w:firstLine="540"/>
        <w:jc w:val="both"/>
      </w:pPr>
      <w:r>
        <w:rPr>
          <w:sz w:val="20"/>
        </w:rPr>
        <w:t xml:space="preserve">оснащение медицинских организаций, оказывающих медицинскую помощь по профилю "медицинская реабилитация", медицинским оборудованием;</w:t>
      </w:r>
    </w:p>
    <w:p>
      <w:pPr>
        <w:pStyle w:val="0"/>
        <w:spacing w:before="200" w:lineRule="auto"/>
        <w:ind w:firstLine="540"/>
        <w:jc w:val="both"/>
      </w:pPr>
      <w:r>
        <w:rPr>
          <w:sz w:val="20"/>
        </w:rPr>
        <w:t xml:space="preserve">предоставление мер социальной поддержки участникам СВО.</w:t>
      </w:r>
    </w:p>
    <w:p>
      <w:pPr>
        <w:pStyle w:val="0"/>
        <w:spacing w:before="200" w:lineRule="auto"/>
        <w:ind w:firstLine="540"/>
        <w:jc w:val="both"/>
      </w:pPr>
      <w:r>
        <w:rPr>
          <w:sz w:val="20"/>
        </w:rPr>
        <w:t xml:space="preserve">Мероприятия, направленные на интеграцию участников СВО, ветеранов боевых действий и их семей в социально-экономическую жизнь региона и реализуемые в рамках проекта "Герой 71":</w:t>
      </w:r>
    </w:p>
    <w:p>
      <w:pPr>
        <w:pStyle w:val="0"/>
        <w:spacing w:before="200" w:lineRule="auto"/>
        <w:ind w:firstLine="540"/>
        <w:jc w:val="both"/>
      </w:pPr>
      <w:r>
        <w:rPr>
          <w:sz w:val="20"/>
        </w:rPr>
        <w:t xml:space="preserve">компенсация 95% стоимости платного обучения в образовательных организациях высшего профессионального образования;</w:t>
      </w:r>
    </w:p>
    <w:p>
      <w:pPr>
        <w:pStyle w:val="0"/>
        <w:spacing w:before="200" w:lineRule="auto"/>
        <w:ind w:firstLine="540"/>
        <w:jc w:val="both"/>
      </w:pPr>
      <w:r>
        <w:rPr>
          <w:sz w:val="20"/>
        </w:rPr>
        <w:t xml:space="preserve">бесплатное второе среднее профессиональное образование;</w:t>
      </w:r>
    </w:p>
    <w:p>
      <w:pPr>
        <w:pStyle w:val="0"/>
        <w:spacing w:before="200" w:lineRule="auto"/>
        <w:ind w:firstLine="540"/>
        <w:jc w:val="both"/>
      </w:pPr>
      <w:r>
        <w:rPr>
          <w:sz w:val="20"/>
        </w:rPr>
        <w:t xml:space="preserve">дополнительное профессиональное образование;</w:t>
      </w:r>
    </w:p>
    <w:p>
      <w:pPr>
        <w:pStyle w:val="0"/>
        <w:spacing w:before="200" w:lineRule="auto"/>
        <w:ind w:firstLine="540"/>
        <w:jc w:val="both"/>
      </w:pPr>
      <w:r>
        <w:rPr>
          <w:sz w:val="20"/>
        </w:rPr>
        <w:t xml:space="preserve">создание и функционирование сети центров поддержки и другой социальной инфраструктуры (кабинеты, клубы, секции) для оказания психологической, юридической, медицинской помощи, продвижения других форм поддержки;</w:t>
      </w:r>
    </w:p>
    <w:p>
      <w:pPr>
        <w:pStyle w:val="0"/>
        <w:spacing w:before="200" w:lineRule="auto"/>
        <w:ind w:firstLine="540"/>
        <w:jc w:val="both"/>
      </w:pPr>
      <w:r>
        <w:rPr>
          <w:sz w:val="20"/>
        </w:rPr>
        <w:t xml:space="preserve">обеспечение персонального сопровождения (кураторство, наставничество) каждого участника.</w:t>
      </w:r>
    </w:p>
    <w:p>
      <w:pPr>
        <w:pStyle w:val="0"/>
      </w:pPr>
      <w:r>
        <w:rPr>
          <w:sz w:val="20"/>
        </w:rPr>
      </w:r>
    </w:p>
    <w:p>
      <w:pPr>
        <w:pStyle w:val="2"/>
        <w:outlineLvl w:val="2"/>
        <w:jc w:val="center"/>
      </w:pPr>
      <w:r>
        <w:rPr>
          <w:sz w:val="20"/>
        </w:rPr>
        <w:t xml:space="preserve">4.10. Развитие системы здравоохранения Тульской области</w:t>
      </w:r>
    </w:p>
    <w:p>
      <w:pPr>
        <w:pStyle w:val="0"/>
      </w:pPr>
      <w:r>
        <w:rPr>
          <w:sz w:val="20"/>
        </w:rPr>
      </w:r>
    </w:p>
    <w:p>
      <w:pPr>
        <w:pStyle w:val="0"/>
        <w:ind w:firstLine="540"/>
        <w:jc w:val="both"/>
      </w:pPr>
      <w:r>
        <w:rPr>
          <w:sz w:val="20"/>
        </w:rPr>
        <w:t xml:space="preserve">В Тульской области сформирована трехуровневая система оказания медицинской помощи, которая продолжает совершенствоваться и включает в себя разветвленную сеть больничных (около 11,5 тыс. коек на начало 2025 года) и амбулаторно-поликлинических организаций (мощностью 40 тыс. посещений за смену), детских поликлиник, женских консультаций, фельдшерских и фельдшерско-акушерских пунктов и ряд других организаций. В регионе выстроена система профилактической медицинской помощи гражданам: работает 6 взрослых и 3 детских центра здоровья, 22 отделения и 47 кабинетов медицинской профилактики. В здравоохранении работает около 6% занятого населения региона, в том числе более 6 тыс. врачей и 13,5 тыс. человек среднего медицинского персонала. Вместе с тем, по уровню обеспеченности населения врачами и средним медицинским персоналом регион отстает от общероссийских показателей. На начало 2024 года обеспеченность врачами в регионе оценивалась на уровне 41,9 врача на 10 тыс. населения (в среднем по Российской Федерации - 51,9), обеспеченность средним медицинским персоналом - 92,6 специалиста на 10 тыс. населения (в среднем по Российской Федерации - 98,1).</w:t>
      </w:r>
    </w:p>
    <w:p>
      <w:pPr>
        <w:pStyle w:val="0"/>
        <w:spacing w:before="200" w:lineRule="auto"/>
        <w:ind w:firstLine="540"/>
        <w:jc w:val="both"/>
      </w:pPr>
      <w:r>
        <w:rPr>
          <w:sz w:val="20"/>
        </w:rPr>
        <w:t xml:space="preserve">Показатель заболеваемости населения Тульской области по всем болезням (737 человек на 10 тыс. населения в 2024 году) в 2021 - 2024 годах на 4 - 10% ниже, чем в среднем по Российской Федерации. В регионе реализуются планы по снижению детской, в том числе младенческой смертности: за 2024 год уровень детской смертности составил 40,9 случая на 100 тыс. населения (на 19,8% ниже установленного показателя), уровень младенческой смертности составил 3,8 случая на 1000 родившимися живыми (что на 19,1% ниже уровня, установленного для региона).</w:t>
      </w:r>
    </w:p>
    <w:p>
      <w:pPr>
        <w:pStyle w:val="0"/>
        <w:spacing w:before="200" w:lineRule="auto"/>
        <w:ind w:firstLine="540"/>
        <w:jc w:val="both"/>
      </w:pPr>
      <w:r>
        <w:rPr>
          <w:sz w:val="20"/>
        </w:rPr>
        <w:t xml:space="preserve">Стратегическая цель развития системы здравоохранения Тульской области - значительное повышение доступности и качества медицинского обслуживания населения на всех уровнях функционирования системы, обеспечивающее дальнейшее снижение смертности населения.</w:t>
      </w:r>
    </w:p>
    <w:p>
      <w:pPr>
        <w:pStyle w:val="0"/>
        <w:spacing w:before="200" w:lineRule="auto"/>
        <w:ind w:firstLine="540"/>
        <w:jc w:val="both"/>
      </w:pPr>
      <w:r>
        <w:rPr>
          <w:sz w:val="20"/>
        </w:rPr>
        <w:t xml:space="preserve">Достижение поставленной цели предполагает выполнение следующего комплекса взаимосвязанных между собой задач:</w:t>
      </w:r>
    </w:p>
    <w:p>
      <w:pPr>
        <w:pStyle w:val="0"/>
        <w:spacing w:before="200" w:lineRule="auto"/>
        <w:ind w:firstLine="540"/>
        <w:jc w:val="both"/>
      </w:pPr>
      <w:r>
        <w:rPr>
          <w:sz w:val="20"/>
        </w:rPr>
        <w:t xml:space="preserve">укрепление материальной базы медицинских учреждений;</w:t>
      </w:r>
    </w:p>
    <w:p>
      <w:pPr>
        <w:pStyle w:val="0"/>
        <w:spacing w:before="200" w:lineRule="auto"/>
        <w:ind w:firstLine="540"/>
        <w:jc w:val="both"/>
      </w:pPr>
      <w:r>
        <w:rPr>
          <w:sz w:val="20"/>
        </w:rPr>
        <w:t xml:space="preserve">обеспечение роста уровня средней заработной платы медицинских работников;</w:t>
      </w:r>
    </w:p>
    <w:p>
      <w:pPr>
        <w:pStyle w:val="0"/>
        <w:spacing w:before="200" w:lineRule="auto"/>
        <w:ind w:firstLine="540"/>
        <w:jc w:val="both"/>
      </w:pPr>
      <w:r>
        <w:rPr>
          <w:sz w:val="20"/>
        </w:rPr>
        <w:t xml:space="preserve">снижение дефицита медицинских работников, в том числе за счет стимулирующих выплат;</w:t>
      </w:r>
    </w:p>
    <w:p>
      <w:pPr>
        <w:pStyle w:val="0"/>
        <w:spacing w:before="200" w:lineRule="auto"/>
        <w:ind w:firstLine="540"/>
        <w:jc w:val="both"/>
      </w:pPr>
      <w:r>
        <w:rPr>
          <w:sz w:val="20"/>
        </w:rPr>
        <w:t xml:space="preserve">повышение обеспеченности населения средними медицинскими работниками, работающими в медицинских организациях, участвующих в реализации государственных гарантий бесплатного оказания медицинской помощи;</w:t>
      </w:r>
    </w:p>
    <w:p>
      <w:pPr>
        <w:pStyle w:val="0"/>
        <w:spacing w:before="200" w:lineRule="auto"/>
        <w:ind w:firstLine="540"/>
        <w:jc w:val="both"/>
      </w:pPr>
      <w:r>
        <w:rPr>
          <w:sz w:val="20"/>
        </w:rPr>
        <w:t xml:space="preserve">ускоренное внедрение современных медицинских технологий;</w:t>
      </w:r>
    </w:p>
    <w:p>
      <w:pPr>
        <w:pStyle w:val="0"/>
        <w:spacing w:before="200" w:lineRule="auto"/>
        <w:ind w:firstLine="540"/>
        <w:jc w:val="both"/>
      </w:pPr>
      <w:r>
        <w:rPr>
          <w:sz w:val="20"/>
        </w:rPr>
        <w:t xml:space="preserve">снижение бюрократической нагрузки на врачей;</w:t>
      </w:r>
    </w:p>
    <w:p>
      <w:pPr>
        <w:pStyle w:val="0"/>
        <w:spacing w:before="200" w:lineRule="auto"/>
        <w:ind w:firstLine="540"/>
        <w:jc w:val="both"/>
      </w:pPr>
      <w:r>
        <w:rPr>
          <w:sz w:val="20"/>
        </w:rPr>
        <w:t xml:space="preserve">повышение уровня удовлетворенности населения Тульской области медицинской помощью по данным опросов населения;</w:t>
      </w:r>
    </w:p>
    <w:p>
      <w:pPr>
        <w:pStyle w:val="0"/>
        <w:spacing w:before="200" w:lineRule="auto"/>
        <w:ind w:firstLine="540"/>
        <w:jc w:val="both"/>
      </w:pPr>
      <w:r>
        <w:rPr>
          <w:sz w:val="20"/>
        </w:rPr>
        <w:t xml:space="preserve">увеличение числа лиц, получивших медицинскую помощь по медицинской реабилитации;</w:t>
      </w:r>
    </w:p>
    <w:p>
      <w:pPr>
        <w:pStyle w:val="0"/>
        <w:spacing w:before="200" w:lineRule="auto"/>
        <w:ind w:firstLine="540"/>
        <w:jc w:val="both"/>
      </w:pPr>
      <w:r>
        <w:rPr>
          <w:sz w:val="20"/>
        </w:rPr>
        <w:t xml:space="preserve">увеличение числа пациентов, обученных в школе для пациентов с сахарным диабетом, от общего числа пациентов с диабетом 1 и 2 типов;</w:t>
      </w:r>
    </w:p>
    <w:p>
      <w:pPr>
        <w:pStyle w:val="0"/>
        <w:spacing w:before="200" w:lineRule="auto"/>
        <w:ind w:firstLine="540"/>
        <w:jc w:val="both"/>
      </w:pPr>
      <w:r>
        <w:rPr>
          <w:sz w:val="20"/>
        </w:rPr>
        <w:t xml:space="preserve">увеличение доли больных сахарным диабетом 1 и 2 типов, находящихся под диспансерным наблюдением, от числа лиц, подлежащих такому наблюдению;</w:t>
      </w:r>
    </w:p>
    <w:p>
      <w:pPr>
        <w:pStyle w:val="0"/>
        <w:spacing w:before="200" w:lineRule="auto"/>
        <w:ind w:firstLine="540"/>
        <w:jc w:val="both"/>
      </w:pPr>
      <w:r>
        <w:rPr>
          <w:sz w:val="20"/>
        </w:rPr>
        <w:t xml:space="preserve">увеличение доли злокачественных новообразований, выявленных на 1 стадии;</w:t>
      </w:r>
    </w:p>
    <w:p>
      <w:pPr>
        <w:pStyle w:val="0"/>
        <w:spacing w:before="200" w:lineRule="auto"/>
        <w:ind w:firstLine="540"/>
        <w:jc w:val="both"/>
      </w:pPr>
      <w:r>
        <w:rPr>
          <w:sz w:val="20"/>
        </w:rPr>
        <w:t xml:space="preserve">снижение одногодичной летальности больных со злокачественными новообразованиями;</w:t>
      </w:r>
    </w:p>
    <w:p>
      <w:pPr>
        <w:pStyle w:val="0"/>
        <w:spacing w:before="200" w:lineRule="auto"/>
        <w:ind w:firstLine="540"/>
        <w:jc w:val="both"/>
      </w:pPr>
      <w:r>
        <w:rPr>
          <w:sz w:val="20"/>
        </w:rPr>
        <w:t xml:space="preserve">увеличение числа пациентов со злокачественными образованиями, живущих более 5 лет, за счет увеличения доступности диагностики и лечения онкологических заболеваний;</w:t>
      </w:r>
    </w:p>
    <w:p>
      <w:pPr>
        <w:pStyle w:val="0"/>
        <w:spacing w:before="200" w:lineRule="auto"/>
        <w:ind w:firstLine="540"/>
        <w:jc w:val="both"/>
      </w:pPr>
      <w:r>
        <w:rPr>
          <w:sz w:val="20"/>
        </w:rPr>
        <w:t xml:space="preserve">снижение больничной летальности от инфаркта миокарда к 2030 году на 7,6% и увеличение на 10% числа лиц с болезнями кровообращения, проживших предыдущий год без острых сердечно-сосудистых событий;</w:t>
      </w:r>
    </w:p>
    <w:p>
      <w:pPr>
        <w:pStyle w:val="0"/>
        <w:spacing w:before="200" w:lineRule="auto"/>
        <w:ind w:firstLine="540"/>
        <w:jc w:val="both"/>
      </w:pPr>
      <w:r>
        <w:rPr>
          <w:sz w:val="20"/>
        </w:rPr>
        <w:t xml:space="preserve">обеспечение пациентов, перенесших острые сердечно-сосудистые события и операции на сердце, бесплатными лекарственными препаратами в соответствии с клиническими рекомендациями;</w:t>
      </w:r>
    </w:p>
    <w:p>
      <w:pPr>
        <w:pStyle w:val="0"/>
        <w:spacing w:before="200" w:lineRule="auto"/>
        <w:ind w:firstLine="540"/>
        <w:jc w:val="both"/>
      </w:pPr>
      <w:r>
        <w:rPr>
          <w:sz w:val="20"/>
        </w:rPr>
        <w:t xml:space="preserve">снижение заболеваемости хроническим вирусным гепатитом С и смертности от этого заболевания.</w:t>
      </w:r>
    </w:p>
    <w:p>
      <w:pPr>
        <w:pStyle w:val="0"/>
        <w:spacing w:before="200" w:lineRule="auto"/>
        <w:ind w:firstLine="540"/>
        <w:jc w:val="both"/>
      </w:pPr>
      <w:r>
        <w:rPr>
          <w:sz w:val="20"/>
        </w:rPr>
        <w:t xml:space="preserve">Основные меры, направленные на развитие сферы здравоохранения Тульской области и сохранение здоровья граждан:</w:t>
      </w:r>
    </w:p>
    <w:p>
      <w:pPr>
        <w:pStyle w:val="0"/>
        <w:spacing w:before="200" w:lineRule="auto"/>
        <w:ind w:firstLine="540"/>
        <w:jc w:val="both"/>
      </w:pPr>
      <w:r>
        <w:rPr>
          <w:sz w:val="20"/>
        </w:rPr>
        <w:t xml:space="preserve">капитальный ремонт зданий медицинских организаций и их структурных подразделений, расположенных в том числе в сельской местности;</w:t>
      </w:r>
    </w:p>
    <w:p>
      <w:pPr>
        <w:pStyle w:val="0"/>
        <w:spacing w:before="200" w:lineRule="auto"/>
        <w:ind w:firstLine="540"/>
        <w:jc w:val="both"/>
      </w:pPr>
      <w:r>
        <w:rPr>
          <w:sz w:val="20"/>
        </w:rPr>
        <w:t xml:space="preserve">строительство (реконструкция, приобретение) объектов первичного звена здравоохранения;</w:t>
      </w:r>
    </w:p>
    <w:p>
      <w:pPr>
        <w:pStyle w:val="0"/>
        <w:spacing w:before="200" w:lineRule="auto"/>
        <w:ind w:firstLine="540"/>
        <w:jc w:val="both"/>
      </w:pPr>
      <w:r>
        <w:rPr>
          <w:sz w:val="20"/>
        </w:rPr>
        <w:t xml:space="preserve">приобретение оборудования в медицинские организации, оказывающие первичную медико-санитарную помощь, а также в медицинские организации, расположенные в сельской местности;</w:t>
      </w:r>
    </w:p>
    <w:p>
      <w:pPr>
        <w:pStyle w:val="0"/>
        <w:spacing w:before="200" w:lineRule="auto"/>
        <w:ind w:firstLine="540"/>
        <w:jc w:val="both"/>
      </w:pPr>
      <w:r>
        <w:rPr>
          <w:sz w:val="20"/>
        </w:rPr>
        <w:t xml:space="preserve">приобретение транспортных средств (за исключением автомобилей скорой медицинской помощи) в медицинские организации, оказывающие первичную медико-санитарную помощь;</w:t>
      </w:r>
    </w:p>
    <w:p>
      <w:pPr>
        <w:pStyle w:val="0"/>
        <w:spacing w:before="200" w:lineRule="auto"/>
        <w:ind w:firstLine="540"/>
        <w:jc w:val="both"/>
      </w:pPr>
      <w:r>
        <w:rPr>
          <w:sz w:val="20"/>
        </w:rPr>
        <w:t xml:space="preserve">организация маршрутизации пациентов с сердечно-сосудистыми заболеваниями на основании профильных порядков оказания медицинской помощи с учетом клинических рекомендаций и обеспечения территориальной доступности медицинской помощи;</w:t>
      </w:r>
    </w:p>
    <w:p>
      <w:pPr>
        <w:pStyle w:val="0"/>
        <w:spacing w:before="200" w:lineRule="auto"/>
        <w:ind w:firstLine="540"/>
        <w:jc w:val="both"/>
      </w:pPr>
      <w:r>
        <w:rPr>
          <w:sz w:val="20"/>
        </w:rPr>
        <w:t xml:space="preserve">реализация мер по профилактике прогрессирования ишемической болезни сердца и развития ее осложнений у пациентов, находящихся под диспансерным наблюдением;</w:t>
      </w:r>
    </w:p>
    <w:p>
      <w:pPr>
        <w:pStyle w:val="0"/>
        <w:spacing w:before="200" w:lineRule="auto"/>
        <w:ind w:firstLine="540"/>
        <w:jc w:val="both"/>
      </w:pPr>
      <w:r>
        <w:rPr>
          <w:sz w:val="20"/>
        </w:rPr>
        <w:t xml:space="preserve">реализация мер по профилактике развития сердечно-сосудистых заболеваний и сердечно-сосудистых осложнений у пациентов высокого риска, находящихся на диспансерном наблюдении;</w:t>
      </w:r>
    </w:p>
    <w:p>
      <w:pPr>
        <w:pStyle w:val="0"/>
        <w:spacing w:before="200" w:lineRule="auto"/>
        <w:ind w:firstLine="540"/>
        <w:jc w:val="both"/>
      </w:pPr>
      <w:r>
        <w:rPr>
          <w:sz w:val="20"/>
        </w:rPr>
        <w:t xml:space="preserve">обеспечение маршрутизации пациентов с онкологическими заболеваниями на основании порядка оказания медицинской помощи с учетом клинических рекомендаций и территориальной доступности медицинской помощи;</w:t>
      </w:r>
    </w:p>
    <w:p>
      <w:pPr>
        <w:pStyle w:val="0"/>
        <w:spacing w:before="200" w:lineRule="auto"/>
        <w:ind w:firstLine="540"/>
        <w:jc w:val="both"/>
      </w:pPr>
      <w:r>
        <w:rPr>
          <w:sz w:val="20"/>
        </w:rPr>
        <w:t xml:space="preserve">обеспечение детей с сахарным диабетом 1 типа в возрасте от 2 до 17 лет системами непрерывного мониторинга глюкозы российского производства;</w:t>
      </w:r>
    </w:p>
    <w:p>
      <w:pPr>
        <w:pStyle w:val="0"/>
        <w:spacing w:before="200" w:lineRule="auto"/>
        <w:ind w:firstLine="540"/>
        <w:jc w:val="both"/>
      </w:pPr>
      <w:r>
        <w:rPr>
          <w:sz w:val="20"/>
        </w:rPr>
        <w:t xml:space="preserve">обеспечение беременных женщин с сахарным диабетом системами непрерывного мониторинга глюкозы, в том числе российского производства;</w:t>
      </w:r>
    </w:p>
    <w:p>
      <w:pPr>
        <w:pStyle w:val="0"/>
        <w:spacing w:before="200" w:lineRule="auto"/>
        <w:ind w:firstLine="540"/>
        <w:jc w:val="both"/>
      </w:pPr>
      <w:r>
        <w:rPr>
          <w:sz w:val="20"/>
        </w:rPr>
        <w:t xml:space="preserve">оснащение межрайонных (районных) центров, оказывающих медицинскую помощь больным с нарушениями углеводного обмена и сахарным диабетом;</w:t>
      </w:r>
    </w:p>
    <w:p>
      <w:pPr>
        <w:pStyle w:val="0"/>
        <w:spacing w:before="200" w:lineRule="auto"/>
        <w:ind w:firstLine="540"/>
        <w:jc w:val="both"/>
      </w:pPr>
      <w:r>
        <w:rPr>
          <w:sz w:val="20"/>
        </w:rPr>
        <w:t xml:space="preserve">обеспечение пациентов с хроническим вирусным гепатитом С, получающих лечение в амбулаторных условиях, лекарственными препаратами;</w:t>
      </w:r>
    </w:p>
    <w:p>
      <w:pPr>
        <w:pStyle w:val="0"/>
        <w:spacing w:before="200" w:lineRule="auto"/>
        <w:ind w:firstLine="540"/>
        <w:jc w:val="both"/>
      </w:pPr>
      <w:r>
        <w:rPr>
          <w:sz w:val="20"/>
        </w:rPr>
        <w:t xml:space="preserve">обеспечение пациентов с хроническим вирусным гепатитом С полным курсом противовирусной терапии в условиях дневного стационара;</w:t>
      </w:r>
    </w:p>
    <w:p>
      <w:pPr>
        <w:pStyle w:val="0"/>
        <w:spacing w:before="200" w:lineRule="auto"/>
        <w:ind w:firstLine="540"/>
        <w:jc w:val="both"/>
      </w:pPr>
      <w:r>
        <w:rPr>
          <w:sz w:val="20"/>
        </w:rPr>
        <w:t xml:space="preserve">достижение устойчивого вирусологического ответа у пациентов с хроническим вирусным гепатитом С, завершивших курс противовирусной терапии;</w:t>
      </w:r>
    </w:p>
    <w:p>
      <w:pPr>
        <w:pStyle w:val="0"/>
        <w:spacing w:before="200" w:lineRule="auto"/>
        <w:ind w:firstLine="540"/>
        <w:jc w:val="both"/>
      </w:pPr>
      <w:r>
        <w:rPr>
          <w:sz w:val="20"/>
        </w:rPr>
        <w:t xml:space="preserve">обеспечение ведения регионального сегмента Федерального регистра вирусных гепатитов;</w:t>
      </w:r>
    </w:p>
    <w:p>
      <w:pPr>
        <w:pStyle w:val="0"/>
        <w:spacing w:before="200" w:lineRule="auto"/>
        <w:ind w:firstLine="540"/>
        <w:jc w:val="both"/>
      </w:pPr>
      <w:r>
        <w:rPr>
          <w:sz w:val="20"/>
        </w:rPr>
        <w:t xml:space="preserve">регулярная актуализация данных о пациентах с хроническим вирусным гепатитом С;</w:t>
      </w:r>
    </w:p>
    <w:p>
      <w:pPr>
        <w:pStyle w:val="0"/>
        <w:spacing w:before="200" w:lineRule="auto"/>
        <w:ind w:firstLine="540"/>
        <w:jc w:val="both"/>
      </w:pPr>
      <w:r>
        <w:rPr>
          <w:sz w:val="20"/>
        </w:rPr>
        <w:t xml:space="preserve">проведение скрининговых исследований на антитела к гепатиту C граждан в возрасте 25 лет и старше;</w:t>
      </w:r>
    </w:p>
    <w:p>
      <w:pPr>
        <w:pStyle w:val="0"/>
        <w:spacing w:before="200" w:lineRule="auto"/>
        <w:ind w:firstLine="540"/>
        <w:jc w:val="both"/>
      </w:pPr>
      <w:r>
        <w:rPr>
          <w:sz w:val="20"/>
        </w:rPr>
        <w:t xml:space="preserve">реализация мероприятий по организации эвакуации пациентов с использованием санитарной авиации для оказания медицинской помощи в экстренной и неотложной формах;</w:t>
      </w:r>
    </w:p>
    <w:p>
      <w:pPr>
        <w:pStyle w:val="0"/>
        <w:spacing w:before="200" w:lineRule="auto"/>
        <w:ind w:firstLine="540"/>
        <w:jc w:val="both"/>
      </w:pPr>
      <w:r>
        <w:rPr>
          <w:sz w:val="20"/>
        </w:rPr>
        <w:t xml:space="preserve">оснащение, дооснащение и переоснащение медицинскими изделиями региональных медицинских организаций;</w:t>
      </w:r>
    </w:p>
    <w:p>
      <w:pPr>
        <w:pStyle w:val="0"/>
        <w:spacing w:before="200" w:lineRule="auto"/>
        <w:ind w:firstLine="540"/>
        <w:jc w:val="both"/>
      </w:pPr>
      <w:r>
        <w:rPr>
          <w:sz w:val="20"/>
        </w:rPr>
        <w:t xml:space="preserve">применение механизмов модификации факторов риска возникновения хронических неинфекционных заболеваний при работе с населением трудоспособного возраста и повышение уровня прохождения профосмотров и диспансеризации с получением рекомендаций по коррекции выявленных факторов риска. Профилактика заболеваний и модификация факторов риска на уровне работодателей является стратегической задачей, для достижения которой будет создана комплексная система мотивированного вовлечения субъектов предпринимательской деятельности в здоровьесбережение сотрудников через организацию информационно-просветительских мероприятий и обследований на рабочих местах, популяризацию успешных практик в сфере управления человеческими ресурсами, работу с объединениями работодателей и создание инструментов нематериального поощрения и отличия хозяйствующих субъектов;</w:t>
      </w:r>
    </w:p>
    <w:p>
      <w:pPr>
        <w:pStyle w:val="0"/>
        <w:spacing w:before="200" w:lineRule="auto"/>
        <w:ind w:firstLine="540"/>
        <w:jc w:val="both"/>
      </w:pPr>
      <w:r>
        <w:rPr>
          <w:sz w:val="20"/>
        </w:rPr>
        <w:t xml:space="preserve">направление врачей, в том числе "вахтовым методом", в медицинские организации Тульской области;</w:t>
      </w:r>
    </w:p>
    <w:p>
      <w:pPr>
        <w:pStyle w:val="0"/>
        <w:spacing w:before="200" w:lineRule="auto"/>
        <w:ind w:firstLine="540"/>
        <w:jc w:val="both"/>
      </w:pPr>
      <w:r>
        <w:rPr>
          <w:sz w:val="20"/>
        </w:rPr>
        <w:t xml:space="preserve">обеспечение жильем медицинских работников тульской системы здравоохранения;</w:t>
      </w:r>
    </w:p>
    <w:p>
      <w:pPr>
        <w:pStyle w:val="0"/>
        <w:spacing w:before="200" w:lineRule="auto"/>
        <w:ind w:firstLine="540"/>
        <w:jc w:val="both"/>
      </w:pPr>
      <w:r>
        <w:rPr>
          <w:sz w:val="20"/>
        </w:rPr>
        <w:t xml:space="preserve">трудоустройство ординаторов второго года врачами-стажерами;</w:t>
      </w:r>
    </w:p>
    <w:p>
      <w:pPr>
        <w:pStyle w:val="0"/>
        <w:spacing w:before="200" w:lineRule="auto"/>
        <w:ind w:firstLine="540"/>
        <w:jc w:val="both"/>
      </w:pPr>
      <w:r>
        <w:rPr>
          <w:sz w:val="20"/>
        </w:rPr>
        <w:t xml:space="preserve">увеличение контрольных цифр приема по программам среднего профессионального образования;</w:t>
      </w:r>
    </w:p>
    <w:p>
      <w:pPr>
        <w:pStyle w:val="0"/>
        <w:spacing w:before="200" w:lineRule="auto"/>
        <w:ind w:firstLine="540"/>
        <w:jc w:val="both"/>
      </w:pPr>
      <w:r>
        <w:rPr>
          <w:sz w:val="20"/>
        </w:rPr>
        <w:t xml:space="preserve">обучение по программам среднего профессионального образования в рамках договоров, предусматривающих обязательное трудоустройство;</w:t>
      </w:r>
    </w:p>
    <w:p>
      <w:pPr>
        <w:pStyle w:val="0"/>
        <w:spacing w:before="200" w:lineRule="auto"/>
        <w:ind w:firstLine="540"/>
        <w:jc w:val="both"/>
      </w:pPr>
      <w:r>
        <w:rPr>
          <w:sz w:val="20"/>
        </w:rPr>
        <w:t xml:space="preserve">постоянное повышение квалификации медицинских работников, оказывающих и обеспечивающих оказание скорой медицинской помощи;</w:t>
      </w:r>
    </w:p>
    <w:p>
      <w:pPr>
        <w:pStyle w:val="0"/>
        <w:spacing w:before="200" w:lineRule="auto"/>
        <w:ind w:firstLine="540"/>
        <w:jc w:val="both"/>
      </w:pPr>
      <w:r>
        <w:rPr>
          <w:sz w:val="20"/>
        </w:rPr>
        <w:t xml:space="preserve">постоянное повышение квалификации медицинских работников, участвующих в оказании медицинской помощи пациентам с сахарным диабетом;</w:t>
      </w:r>
    </w:p>
    <w:p>
      <w:pPr>
        <w:pStyle w:val="0"/>
        <w:spacing w:before="200" w:lineRule="auto"/>
        <w:ind w:firstLine="540"/>
        <w:jc w:val="both"/>
      </w:pPr>
      <w:r>
        <w:rPr>
          <w:sz w:val="20"/>
        </w:rPr>
        <w:t xml:space="preserve">стандартизация и типизация процессов оказания медицинской помощи, в том числе по формированию положительных репродуктивных установок у женщин;</w:t>
      </w:r>
    </w:p>
    <w:p>
      <w:pPr>
        <w:pStyle w:val="0"/>
        <w:spacing w:before="200" w:lineRule="auto"/>
        <w:ind w:firstLine="540"/>
        <w:jc w:val="both"/>
      </w:pPr>
      <w:r>
        <w:rPr>
          <w:sz w:val="20"/>
        </w:rPr>
        <w:t xml:space="preserve">расширение возможностей оказания медицинской помощи с использованием вспомогательных репродуктивных технологий для лечения бесплодия;</w:t>
      </w:r>
    </w:p>
    <w:p>
      <w:pPr>
        <w:pStyle w:val="0"/>
        <w:spacing w:before="200" w:lineRule="auto"/>
        <w:ind w:firstLine="540"/>
        <w:jc w:val="both"/>
      </w:pPr>
      <w:r>
        <w:rPr>
          <w:sz w:val="20"/>
        </w:rPr>
        <w:t xml:space="preserve">дооснащение и переоснащение медицинскими изделиями перинатального центра и родильных домов;</w:t>
      </w:r>
    </w:p>
    <w:p>
      <w:pPr>
        <w:pStyle w:val="0"/>
        <w:spacing w:before="200" w:lineRule="auto"/>
        <w:ind w:firstLine="540"/>
        <w:jc w:val="both"/>
      </w:pPr>
      <w:r>
        <w:rPr>
          <w:sz w:val="20"/>
        </w:rPr>
        <w:t xml:space="preserve">расширение профилактических медицинских мероприятий среди граждан репродуктивного возраста (к 2030 году - не менее 50% граждан данной категории);</w:t>
      </w:r>
    </w:p>
    <w:p>
      <w:pPr>
        <w:pStyle w:val="0"/>
        <w:spacing w:before="200" w:lineRule="auto"/>
        <w:ind w:firstLine="540"/>
        <w:jc w:val="both"/>
      </w:pPr>
      <w:r>
        <w:rPr>
          <w:sz w:val="20"/>
        </w:rPr>
        <w:t xml:space="preserve">создание 6 женских консультаций для оказания помощи женщинам, в том числе в сельской местности.</w:t>
      </w:r>
    </w:p>
    <w:p>
      <w:pPr>
        <w:pStyle w:val="0"/>
        <w:spacing w:before="200" w:lineRule="auto"/>
        <w:ind w:firstLine="540"/>
        <w:jc w:val="both"/>
      </w:pPr>
      <w:r>
        <w:rPr>
          <w:sz w:val="20"/>
        </w:rPr>
        <w:t xml:space="preserve">Среди дополнительных мероприятий необходимо выделить:</w:t>
      </w:r>
    </w:p>
    <w:p>
      <w:pPr>
        <w:pStyle w:val="0"/>
        <w:spacing w:before="200" w:lineRule="auto"/>
        <w:ind w:firstLine="540"/>
        <w:jc w:val="both"/>
      </w:pPr>
      <w:r>
        <w:rPr>
          <w:sz w:val="20"/>
        </w:rPr>
        <w:t xml:space="preserve">модернизацию Государственного учреждения здравоохранения "Тульская областная клиническая больница", предполагающий поэтапную замену медицинского оборудования и дооснащение современным оборудованием, что позволит: увеличить объем высокотехнологичной медицинской помощи, а также внедрить в практику новые методы лечения; расширить доступность эндоскопических мини инвазивных вмешательств; улучшить оснащение травматолого-ортопедического, ожогового, регионального сосудистого центров, центра рассеянного склероза; создать центр диабетической стопы; создать центр хирургии печени; увеличить число органно-сохраняющих вмешательств на 300 случаев в год; сократить текучесть кадров в Государственном учреждении здравоохранения "Тульская областная клиническая больница" примерно на 10% (благодаря улучшению условий труда);</w:t>
      </w:r>
    </w:p>
    <w:p>
      <w:pPr>
        <w:pStyle w:val="0"/>
        <w:spacing w:before="200" w:lineRule="auto"/>
        <w:ind w:firstLine="540"/>
        <w:jc w:val="both"/>
      </w:pPr>
      <w:r>
        <w:rPr>
          <w:sz w:val="20"/>
        </w:rPr>
        <w:t xml:space="preserve">строительство хирургического корпуса и поликлинического отделения для взрослых государственного учреждения здравоохранения "Тульская городская клиническая больница скорой медицинской помощи им. Д.Я. Ваныкина";</w:t>
      </w:r>
    </w:p>
    <w:p>
      <w:pPr>
        <w:pStyle w:val="0"/>
        <w:spacing w:before="200" w:lineRule="auto"/>
        <w:ind w:firstLine="540"/>
        <w:jc w:val="both"/>
      </w:pPr>
      <w:r>
        <w:rPr>
          <w:sz w:val="20"/>
        </w:rPr>
        <w:t xml:space="preserve">реализацию и расширение охвата регионального проекта "КардиоРитм". В рамках указанной инициативы ведущие специалисты Тульского областного клинического кардиологического диспансера продолжат выезжать в районы области для проведения консультаций и оказания специализированной медицинской помощи жителям.</w:t>
      </w:r>
    </w:p>
    <w:p>
      <w:pPr>
        <w:pStyle w:val="0"/>
        <w:spacing w:before="200" w:lineRule="auto"/>
        <w:ind w:firstLine="540"/>
        <w:jc w:val="both"/>
      </w:pPr>
      <w:r>
        <w:rPr>
          <w:sz w:val="20"/>
        </w:rPr>
        <w:t xml:space="preserve">Помимо перечисленных выше мероприятий планируется завершить проекты цифровой трансформации:</w:t>
      </w:r>
    </w:p>
    <w:p>
      <w:pPr>
        <w:pStyle w:val="0"/>
        <w:spacing w:before="200" w:lineRule="auto"/>
        <w:ind w:firstLine="540"/>
        <w:jc w:val="both"/>
      </w:pPr>
      <w:r>
        <w:rPr>
          <w:sz w:val="20"/>
        </w:rPr>
        <w:t xml:space="preserve">развитие информационного взаимодействия региональной информационной системы здравоохранения Тульской области и автоматизированной системы "Адресная социальная помощь" в рамках развития системы долговременного ухода;</w:t>
      </w:r>
    </w:p>
    <w:p>
      <w:pPr>
        <w:pStyle w:val="0"/>
        <w:spacing w:before="200" w:lineRule="auto"/>
        <w:ind w:firstLine="540"/>
        <w:jc w:val="both"/>
      </w:pPr>
      <w:r>
        <w:rPr>
          <w:sz w:val="20"/>
        </w:rPr>
        <w:t xml:space="preserve">автоматизация обмена данными.</w:t>
      </w:r>
    </w:p>
    <w:p>
      <w:pPr>
        <w:pStyle w:val="0"/>
      </w:pPr>
      <w:r>
        <w:rPr>
          <w:sz w:val="20"/>
        </w:rPr>
      </w:r>
    </w:p>
    <w:p>
      <w:pPr>
        <w:pStyle w:val="2"/>
        <w:outlineLvl w:val="2"/>
        <w:jc w:val="center"/>
      </w:pPr>
      <w:r>
        <w:rPr>
          <w:sz w:val="20"/>
        </w:rPr>
        <w:t xml:space="preserve">4.11. Развитие системы образования Тульской области</w:t>
      </w:r>
    </w:p>
    <w:p>
      <w:pPr>
        <w:pStyle w:val="0"/>
      </w:pPr>
      <w:r>
        <w:rPr>
          <w:sz w:val="20"/>
        </w:rPr>
      </w:r>
    </w:p>
    <w:p>
      <w:pPr>
        <w:pStyle w:val="0"/>
        <w:ind w:firstLine="540"/>
        <w:jc w:val="both"/>
      </w:pPr>
      <w:r>
        <w:rPr>
          <w:sz w:val="20"/>
        </w:rPr>
        <w:t xml:space="preserve">В Тульской области 220 дошкольных образовательных организаций и 232 структурных подразделения общеобразовательных организаций реализуют программы дошкольного образования для более чем 48,6 тыс. воспитанников, из них более 9,2 тыс. детей в возрасте до 3 лет.</w:t>
      </w:r>
    </w:p>
    <w:p>
      <w:pPr>
        <w:pStyle w:val="0"/>
        <w:spacing w:before="200" w:lineRule="auto"/>
        <w:ind w:firstLine="540"/>
        <w:jc w:val="both"/>
      </w:pPr>
      <w:r>
        <w:rPr>
          <w:sz w:val="20"/>
        </w:rPr>
        <w:t xml:space="preserve">Охват детей в возрасте от 0 до 7 лет дошкольным образованием составляет 100% от заявивших потребность. Очередность детей в детские сады отсутствует.</w:t>
      </w:r>
    </w:p>
    <w:p>
      <w:pPr>
        <w:pStyle w:val="0"/>
        <w:spacing w:before="200" w:lineRule="auto"/>
        <w:ind w:firstLine="540"/>
        <w:jc w:val="both"/>
      </w:pPr>
      <w:r>
        <w:rPr>
          <w:sz w:val="20"/>
        </w:rPr>
        <w:t xml:space="preserve">В 460 общеобразовательных организациях (552 здания) обучается более 146 тыс. человек, из них более 12,5 тыс. первоклассников.</w:t>
      </w:r>
    </w:p>
    <w:p>
      <w:pPr>
        <w:pStyle w:val="0"/>
        <w:spacing w:before="200" w:lineRule="auto"/>
        <w:ind w:firstLine="540"/>
        <w:jc w:val="both"/>
      </w:pPr>
      <w:r>
        <w:rPr>
          <w:sz w:val="20"/>
        </w:rPr>
        <w:t xml:space="preserve">Инфраструктура развития личности ребенка региона включает сеть структур, созданных в рамках нацпроекта "Образование": 181 центр "Точка роста"; 11 детских технопарков "Кванториум" (из них: 4 школьных кванториума и 7 детских технопарков "Кванториум", созданных на базе государственных профессиональных образовательных учреждений Тульской области); 5 центров цифрового образования детей "IT-куб", созданных в колледжах и техникумах региона; кружки по развитию сферы беспилотных систем и центр практической подготовки по разработке, производству и эксплуатации беспилотных авиационных комплексов.</w:t>
      </w:r>
    </w:p>
    <w:p>
      <w:pPr>
        <w:pStyle w:val="0"/>
        <w:spacing w:before="200" w:lineRule="auto"/>
        <w:ind w:firstLine="540"/>
        <w:jc w:val="both"/>
      </w:pPr>
      <w:r>
        <w:rPr>
          <w:sz w:val="20"/>
        </w:rPr>
        <w:t xml:space="preserve">Сформировано более 700 профильных и предпрофессиональных классов (инженерных, IT, медицинских, психолого-педагогических, финансовых, курчатовских, кадетских и Сириус-классов, туристических и агротехнологических). Общее количество обучающихся в таких классах - порядка 10,5 тыс. человек.</w:t>
      </w:r>
    </w:p>
    <w:p>
      <w:pPr>
        <w:pStyle w:val="0"/>
        <w:spacing w:before="200" w:lineRule="auto"/>
        <w:ind w:firstLine="540"/>
        <w:jc w:val="both"/>
      </w:pPr>
      <w:r>
        <w:rPr>
          <w:sz w:val="20"/>
        </w:rPr>
        <w:t xml:space="preserve">Эффективно работают три Центра поддержки одаренных детей: гуманитарной направленности в Яснополянском образовательном комплексе, естественно-научной направленности в центре "Созвездие" и творческой направленности в центре "Мастерская талантов".</w:t>
      </w:r>
    </w:p>
    <w:p>
      <w:pPr>
        <w:pStyle w:val="0"/>
        <w:spacing w:before="200" w:lineRule="auto"/>
        <w:ind w:firstLine="540"/>
        <w:jc w:val="both"/>
      </w:pPr>
      <w:r>
        <w:rPr>
          <w:sz w:val="20"/>
        </w:rPr>
        <w:t xml:space="preserve">Более 9 тыс. программ дополнительного образования позволили охватить в 2024 году 89,3% детей и молодежи 5 - 18 лет, а на конец 2025 года эта цифра - 90,21%.</w:t>
      </w:r>
    </w:p>
    <w:p>
      <w:pPr>
        <w:pStyle w:val="0"/>
        <w:spacing w:before="200" w:lineRule="auto"/>
        <w:ind w:firstLine="540"/>
        <w:jc w:val="both"/>
      </w:pPr>
      <w:r>
        <w:rPr>
          <w:sz w:val="20"/>
        </w:rPr>
        <w:t xml:space="preserve">Сеть государственных профессиональных образовательных учреждений регионального подчинения (среднее профессиональное образование - далее СПО) представлена 29 колледжами и техникумами, в которых обучается более 24 тыс. человек.</w:t>
      </w:r>
    </w:p>
    <w:p>
      <w:pPr>
        <w:pStyle w:val="0"/>
        <w:spacing w:before="200" w:lineRule="auto"/>
        <w:ind w:firstLine="540"/>
        <w:jc w:val="both"/>
      </w:pPr>
      <w:r>
        <w:rPr>
          <w:sz w:val="20"/>
        </w:rPr>
        <w:t xml:space="preserve">Обучение ведется по более чем 100 специальностям и профессиям. Каждый год около 8 тыс. человек поступают в колледжи на бюджетные региональные места, что составляет больше половины всех выпускников девятых классов школ.</w:t>
      </w:r>
    </w:p>
    <w:p>
      <w:pPr>
        <w:pStyle w:val="0"/>
        <w:spacing w:before="200" w:lineRule="auto"/>
        <w:ind w:firstLine="540"/>
        <w:jc w:val="both"/>
      </w:pPr>
      <w:r>
        <w:rPr>
          <w:sz w:val="20"/>
        </w:rPr>
        <w:t xml:space="preserve">Более 40% бюджетных мест отведено на подготовку специалистов в отрасли машиностроения. Регулярно вводятся новые специальности по запросам работодателей.</w:t>
      </w:r>
    </w:p>
    <w:p>
      <w:pPr>
        <w:pStyle w:val="0"/>
        <w:spacing w:before="200" w:lineRule="auto"/>
        <w:ind w:firstLine="540"/>
        <w:jc w:val="both"/>
      </w:pPr>
      <w:r>
        <w:rPr>
          <w:sz w:val="20"/>
        </w:rPr>
        <w:t xml:space="preserve">Для подготовки специалистов среднего звена предназначено 70,2% бюджетных мест. Программы обучения построены так, что студенты получают одну - две рабочие профессии еще до окончания колледжа, что позволяет учитывать запросы работодателей и готовить кадры под конкретные вакансии.</w:t>
      </w:r>
    </w:p>
    <w:p>
      <w:pPr>
        <w:pStyle w:val="0"/>
        <w:spacing w:before="200" w:lineRule="auto"/>
        <w:ind w:firstLine="540"/>
        <w:jc w:val="both"/>
      </w:pPr>
      <w:r>
        <w:rPr>
          <w:sz w:val="20"/>
        </w:rPr>
        <w:t xml:space="preserve">С 2022 года Тульская область участвует в федеральном проекте "Профессионалитет". В настоящий момент на территории региона создано 8 кластеров по пяти отраслям: машиностроение, сельское хозяйство, химия, туризм и сфера услуг, средства массовой информации и коммуникационные технологии.</w:t>
      </w:r>
    </w:p>
    <w:p>
      <w:pPr>
        <w:pStyle w:val="0"/>
        <w:spacing w:before="200" w:lineRule="auto"/>
        <w:ind w:firstLine="540"/>
        <w:jc w:val="both"/>
      </w:pPr>
      <w:r>
        <w:rPr>
          <w:sz w:val="20"/>
        </w:rPr>
        <w:t xml:space="preserve">В апреле 2025 года 7 колледжей и техникумов Тульской области стали победителями конкурсного отбора Министерства просвещения Российской Федерации на предоставление субсидий на создание кластеров "Профессионалитета" в 2026 году. Партнерами новых кластеров станут более 40 предприятий и организаций региона.</w:t>
      </w:r>
    </w:p>
    <w:p>
      <w:pPr>
        <w:pStyle w:val="0"/>
        <w:spacing w:before="200" w:lineRule="auto"/>
        <w:ind w:firstLine="540"/>
        <w:jc w:val="both"/>
      </w:pPr>
      <w:r>
        <w:rPr>
          <w:sz w:val="20"/>
        </w:rPr>
        <w:t xml:space="preserve">К концу 2026 года в Тульской области будут функционировать 15 кластеров, которые охватят 27 СПО и более 70 работодателей.</w:t>
      </w:r>
    </w:p>
    <w:p>
      <w:pPr>
        <w:pStyle w:val="0"/>
        <w:spacing w:before="200" w:lineRule="auto"/>
        <w:ind w:firstLine="540"/>
        <w:jc w:val="both"/>
      </w:pPr>
      <w:r>
        <w:rPr>
          <w:sz w:val="20"/>
        </w:rPr>
        <w:t xml:space="preserve">В ближайшие три года новые кластеры подготовят порядка 10 тыс. специалистов. Объем инвестиций в отрасль до конца 2026 года составит 2,4 млрд. рублей.</w:t>
      </w:r>
    </w:p>
    <w:p>
      <w:pPr>
        <w:pStyle w:val="0"/>
        <w:spacing w:before="200" w:lineRule="auto"/>
        <w:ind w:firstLine="540"/>
        <w:jc w:val="both"/>
      </w:pPr>
      <w:r>
        <w:rPr>
          <w:sz w:val="20"/>
        </w:rPr>
        <w:t xml:space="preserve">В государственной и муниципальной системе образования сегодня более 42,5 тыс. работников, из них более 20 тыс. педагогические работники.</w:t>
      </w:r>
    </w:p>
    <w:p>
      <w:pPr>
        <w:pStyle w:val="0"/>
        <w:spacing w:before="200" w:lineRule="auto"/>
        <w:ind w:firstLine="540"/>
        <w:jc w:val="both"/>
      </w:pPr>
      <w:r>
        <w:rPr>
          <w:sz w:val="20"/>
        </w:rPr>
        <w:t xml:space="preserve">В 2024 году на отраслевом уровне утверждена комплексная </w:t>
      </w:r>
      <w:hyperlink w:history="0" r:id="rId28" w:tooltip="Приказ министерства образования Тульской области от 09.08.2024 N 1212 &quot;Об утверждении Комплексной программы Тульской области &quot;Кадровое обеспечение системы образования Тульской области на 2024 - 2030 годы&quot; {КонсультантПлюс}">
        <w:r>
          <w:rPr>
            <w:sz w:val="20"/>
            <w:color w:val="0000ff"/>
          </w:rPr>
          <w:t xml:space="preserve">программа</w:t>
        </w:r>
      </w:hyperlink>
      <w:r>
        <w:rPr>
          <w:sz w:val="20"/>
        </w:rPr>
        <w:t xml:space="preserve"> "Кадровое обеспечение системы образования Тульской области на 2024 - 2030 годы". За период первого года реализации кадровая укомплектованность в сфере образования увеличилась на 7% (с 89% на конец 2023/2024 учебного года до 96% на конец 2024/2025 учебного года).</w:t>
      </w:r>
    </w:p>
    <w:p>
      <w:pPr>
        <w:pStyle w:val="0"/>
        <w:spacing w:before="200" w:lineRule="auto"/>
        <w:ind w:firstLine="540"/>
        <w:jc w:val="both"/>
      </w:pPr>
      <w:r>
        <w:rPr>
          <w:sz w:val="20"/>
        </w:rPr>
        <w:t xml:space="preserve">В Тульской области почти 2,5 тыс. молодых специалистов, работающих в школах, что составляет 25% от числа учителей. Процент работников моложе 25 лет за последние 3 года вырос на 2%.</w:t>
      </w:r>
    </w:p>
    <w:p>
      <w:pPr>
        <w:pStyle w:val="0"/>
        <w:spacing w:before="200" w:lineRule="auto"/>
        <w:ind w:firstLine="540"/>
        <w:jc w:val="both"/>
      </w:pPr>
      <w:r>
        <w:rPr>
          <w:sz w:val="20"/>
        </w:rPr>
        <w:t xml:space="preserve">Средний возраст учителей в регионе составляет 46 лет.</w:t>
      </w:r>
    </w:p>
    <w:p>
      <w:pPr>
        <w:pStyle w:val="0"/>
        <w:spacing w:before="200" w:lineRule="auto"/>
        <w:ind w:firstLine="540"/>
        <w:jc w:val="both"/>
      </w:pPr>
      <w:r>
        <w:rPr>
          <w:sz w:val="20"/>
        </w:rPr>
        <w:t xml:space="preserve">Третий год в регионе совместно с Федеральным государственным бюджетным образовательным учреждением высшего образования "Тульский государственный педагогический университет им. Л.Н. Толстого" и двумя региональными педагогическими колледжами реализуется проект "ПРОстажер", когда студенты выпускных и предвыпускных курсов трудоустраиваются в образовательные организации в качестве педагогов. За всеми трудоустроенными студентами закрепляется наставник в школе. В этом учебном году ПРОстажерами стали 304 студента.</w:t>
      </w:r>
    </w:p>
    <w:p>
      <w:pPr>
        <w:pStyle w:val="0"/>
        <w:spacing w:before="200" w:lineRule="auto"/>
        <w:ind w:firstLine="540"/>
        <w:jc w:val="both"/>
      </w:pPr>
      <w:r>
        <w:rPr>
          <w:sz w:val="20"/>
        </w:rPr>
        <w:t xml:space="preserve">На территории области действуют 16 загородных оздоровительных лагерей, которые обеспечивают условиями для полноценного отдыха и оздоровления детей. В них в 2025 году при общей наполняемости в смену - 3406 детей оздоровлено 14173 ребенка, в том числе 1810 детей Белгородской и Курской областей, городов Горловки и Мариуполя.</w:t>
      </w:r>
    </w:p>
    <w:p>
      <w:pPr>
        <w:pStyle w:val="0"/>
        <w:spacing w:before="200" w:lineRule="auto"/>
        <w:ind w:firstLine="540"/>
        <w:jc w:val="both"/>
      </w:pPr>
      <w:r>
        <w:rPr>
          <w:sz w:val="20"/>
        </w:rPr>
        <w:t xml:space="preserve">В 2025 году приобретено свыше 5000 путевок в лагеря и санатории за пределами региона.</w:t>
      </w:r>
    </w:p>
    <w:p>
      <w:pPr>
        <w:pStyle w:val="0"/>
        <w:spacing w:before="200" w:lineRule="auto"/>
        <w:ind w:firstLine="540"/>
        <w:jc w:val="both"/>
      </w:pPr>
      <w:r>
        <w:rPr>
          <w:sz w:val="20"/>
        </w:rPr>
        <w:t xml:space="preserve">В регионе существует потребность ввода в эксплуатацию новых объектов детского отдыха.</w:t>
      </w:r>
    </w:p>
    <w:p>
      <w:pPr>
        <w:pStyle w:val="0"/>
        <w:spacing w:before="200" w:lineRule="auto"/>
        <w:ind w:firstLine="540"/>
        <w:jc w:val="both"/>
      </w:pPr>
      <w:r>
        <w:rPr>
          <w:sz w:val="20"/>
        </w:rPr>
        <w:t xml:space="preserve">В июне 2025 года введен в эксплуатацию загородный оздоровительный лагерь "Звездный", расположенный в Алексинском районе, д. Айдарово, который передан в безвозмездное пользование регионального фонда "Экоразвитие". За летний сезон лагерь принял 900 детей. Наполняемость в смену - 120 мест в загородном лагере и 198 мест в палаточном лагере-спутнике.</w:t>
      </w:r>
    </w:p>
    <w:p>
      <w:pPr>
        <w:pStyle w:val="0"/>
        <w:spacing w:before="200" w:lineRule="auto"/>
        <w:ind w:firstLine="540"/>
        <w:jc w:val="both"/>
      </w:pPr>
      <w:r>
        <w:rPr>
          <w:sz w:val="20"/>
        </w:rPr>
        <w:t xml:space="preserve">В Тульской области 5 недействующих лагерей ("Космос", "Алексин-Бор", "Восток", "Заполярье", "Велегож"). В случае их модернизации регион сможет принимать на отдых дополнительно порядка 13 тыс. детей в год (в смену - более 2,1 тыс. детей).</w:t>
      </w:r>
    </w:p>
    <w:p>
      <w:pPr>
        <w:pStyle w:val="0"/>
        <w:spacing w:before="200" w:lineRule="auto"/>
        <w:ind w:firstLine="540"/>
        <w:jc w:val="both"/>
      </w:pPr>
      <w:r>
        <w:rPr>
          <w:sz w:val="20"/>
        </w:rPr>
        <w:t xml:space="preserve">По итогам 2025 года организованными формами отдыха и оздоровления охвачено не менее 106,2 тыс. детей или 67,1% от их общего числа. Ввод недействующих лагерей позволит увеличить охват детей отдыхом до 75% ежегодно.</w:t>
      </w:r>
    </w:p>
    <w:p>
      <w:pPr>
        <w:pStyle w:val="0"/>
        <w:spacing w:before="200" w:lineRule="auto"/>
        <w:ind w:firstLine="540"/>
        <w:jc w:val="both"/>
      </w:pPr>
      <w:r>
        <w:rPr>
          <w:sz w:val="20"/>
        </w:rPr>
        <w:t xml:space="preserve">С 2020 по 2025 годы на развитие детского отдыха и оздоровления детей направлено более 1,3 млрд. рублей. В 2026 - 2027 годах на данные цели будет направлено еще 0,76 млрд. рублей.</w:t>
      </w:r>
    </w:p>
    <w:p>
      <w:pPr>
        <w:pStyle w:val="0"/>
        <w:spacing w:before="200" w:lineRule="auto"/>
        <w:ind w:firstLine="540"/>
        <w:jc w:val="both"/>
      </w:pPr>
      <w:r>
        <w:rPr>
          <w:sz w:val="20"/>
        </w:rPr>
        <w:t xml:space="preserve">Во время реализации национальных проектов "Образование" и "Демография" с 2019 по 2024 годы построено 25 современных дошкольных учреждений суммарно на 2970 мест, построено 8 новых школ суммарно на 5100 мест. Строительство объектов образования продолжается. В рамках национального проекта "Молодежь и дети" в 2027 году будет сдана в эксплуатацию еще одна школа на 1100 мест в новом микрорайоне. Таким образом, на создание новой инфраструктуры образования направлено более 11 млрд. рублей. В период с 2022 по 2025 год капитально отремонтировано 45 объектов образования: 45 школ (из них 3 объекта за счет средств регионального и муниципального бюджета), 2 детских сада и 1 колледж. За период с 2026 по 2027 годы будет отремонтировано 56 объектов образования (из них 7 объектов за счет средств регионального и муниципального бюджета): 25 школ, 16 детских садов и 15 объектов СПО.</w:t>
      </w:r>
    </w:p>
    <w:p>
      <w:pPr>
        <w:pStyle w:val="0"/>
        <w:spacing w:before="200" w:lineRule="auto"/>
        <w:ind w:firstLine="540"/>
        <w:jc w:val="both"/>
      </w:pPr>
      <w:r>
        <w:rPr>
          <w:sz w:val="20"/>
        </w:rPr>
        <w:t xml:space="preserve">Стратегическая цель развития сферы образования Тульской области - обеспечение единства регионального образовательного пространства, повышении доступности и качества образования, соответствующего запросам инновационной экономики, раскрытии личностного потенциала каждого обучающегося, развитии талантов и воспитании патриотичной, социально ответственной личности.</w:t>
      </w:r>
    </w:p>
    <w:p>
      <w:pPr>
        <w:pStyle w:val="0"/>
        <w:spacing w:before="200" w:lineRule="auto"/>
        <w:ind w:firstLine="540"/>
        <w:jc w:val="both"/>
      </w:pPr>
      <w:r>
        <w:rPr>
          <w:sz w:val="20"/>
        </w:rPr>
        <w:t xml:space="preserve">В Тульской области реализуется государственная </w:t>
      </w:r>
      <w:hyperlink w:history="0" r:id="rId29" w:tooltip="Постановление правительства Тульской области от 21.01.2022 N 30 (ред. от 16.01.2026) &quot;Об утверждении государственной программы Тульской области &quot;Развитие инфраструктуры образовательных организаций, расположенных на территории Тульской области&quot; (вместе с &quot;Составом управляющего совета государственной программы Тульской области &quot;Развитие инфраструктуры образовательных организаций, расположенных на территории Тульской области&quot; по должностям&quot;) {КонсультантПлюс}">
        <w:r>
          <w:rPr>
            <w:sz w:val="20"/>
            <w:color w:val="0000ff"/>
          </w:rPr>
          <w:t xml:space="preserve">программа</w:t>
        </w:r>
      </w:hyperlink>
      <w:r>
        <w:rPr>
          <w:sz w:val="20"/>
        </w:rPr>
        <w:t xml:space="preserve"> Тульской области "Развитие инфраструктуры образовательных организаций, расположенных на территории Тульской области".</w:t>
      </w:r>
    </w:p>
    <w:p>
      <w:pPr>
        <w:pStyle w:val="0"/>
        <w:spacing w:before="200" w:lineRule="auto"/>
        <w:ind w:firstLine="540"/>
        <w:jc w:val="both"/>
      </w:pPr>
      <w:r>
        <w:rPr>
          <w:sz w:val="20"/>
        </w:rPr>
        <w:t xml:space="preserve">Достижение поставленной цели обеспечивается через реализацию следующих направлений и задач:</w:t>
      </w:r>
    </w:p>
    <w:p>
      <w:pPr>
        <w:pStyle w:val="0"/>
        <w:spacing w:before="200" w:lineRule="auto"/>
        <w:ind w:firstLine="540"/>
        <w:jc w:val="both"/>
      </w:pPr>
      <w:r>
        <w:rPr>
          <w:sz w:val="20"/>
        </w:rPr>
        <w:t xml:space="preserve">сохранение 100% соотношения средней заработной платы отдельных категорий педагогических работников образовательных организаций, повышение оплаты труда которых предусмотрено указами Президента Российской Федерации к среднемесячному доходу от трудовой деятельности в Тульской области;</w:t>
      </w:r>
    </w:p>
    <w:p>
      <w:pPr>
        <w:pStyle w:val="0"/>
        <w:spacing w:before="200" w:lineRule="auto"/>
        <w:ind w:firstLine="540"/>
        <w:jc w:val="both"/>
      </w:pPr>
      <w:r>
        <w:rPr>
          <w:sz w:val="20"/>
        </w:rPr>
        <w:t xml:space="preserve">сохранение 100% предоставления мест в дошкольных образовательных организациях детям в возрасте от 0 до 7 лет от заявленной потребности;</w:t>
      </w:r>
    </w:p>
    <w:p>
      <w:pPr>
        <w:pStyle w:val="0"/>
        <w:spacing w:before="200" w:lineRule="auto"/>
        <w:ind w:firstLine="540"/>
        <w:jc w:val="both"/>
      </w:pPr>
      <w:r>
        <w:rPr>
          <w:sz w:val="20"/>
        </w:rPr>
        <w:t xml:space="preserve">завершение до конца 2030 года капитального ремонта зданий дошкольных образовательных организаций и общеобразовательных организаций, признанных нуждающимися в проведении такого ремонта по состоянию на 1 января 2025 года;</w:t>
      </w:r>
    </w:p>
    <w:p>
      <w:pPr>
        <w:pStyle w:val="0"/>
        <w:spacing w:before="200" w:lineRule="auto"/>
        <w:ind w:firstLine="540"/>
        <w:jc w:val="both"/>
      </w:pPr>
      <w:r>
        <w:rPr>
          <w:sz w:val="20"/>
        </w:rPr>
        <w:t xml:space="preserve">повышение доступности качественного образования, соответствующего требованиям инновационного развития экономики, современным потребностям общества и каждого гражданина;</w:t>
      </w:r>
    </w:p>
    <w:p>
      <w:pPr>
        <w:pStyle w:val="0"/>
        <w:spacing w:before="200" w:lineRule="auto"/>
        <w:ind w:firstLine="540"/>
        <w:jc w:val="both"/>
      </w:pPr>
      <w:r>
        <w:rPr>
          <w:sz w:val="20"/>
        </w:rPr>
        <w:t xml:space="preserve">обеспечение инновационного характера базового образования в соответствии с требованиями экономики, основанной на знаниях;</w:t>
      </w:r>
    </w:p>
    <w:p>
      <w:pPr>
        <w:pStyle w:val="0"/>
        <w:spacing w:before="200" w:lineRule="auto"/>
        <w:ind w:firstLine="540"/>
        <w:jc w:val="both"/>
      </w:pPr>
      <w:r>
        <w:rPr>
          <w:sz w:val="20"/>
        </w:rPr>
        <w:t xml:space="preserve">модернизация институтов системы образования как инструментов социального развития;</w:t>
      </w:r>
    </w:p>
    <w:p>
      <w:pPr>
        <w:pStyle w:val="0"/>
        <w:spacing w:before="200" w:lineRule="auto"/>
        <w:ind w:firstLine="540"/>
        <w:jc w:val="both"/>
      </w:pPr>
      <w:r>
        <w:rPr>
          <w:sz w:val="20"/>
        </w:rPr>
        <w:t xml:space="preserve">создание современной системы непрерывного образования, подготовки и переподготовки профессиональных кадров;</w:t>
      </w:r>
    </w:p>
    <w:p>
      <w:pPr>
        <w:pStyle w:val="0"/>
        <w:spacing w:before="200" w:lineRule="auto"/>
        <w:ind w:firstLine="540"/>
        <w:jc w:val="both"/>
      </w:pPr>
      <w:r>
        <w:rPr>
          <w:sz w:val="20"/>
        </w:rPr>
        <w:t xml:space="preserve">формирование механизмов оценки качества и востребованности образовательных услуг с участием их потребителей;</w:t>
      </w:r>
    </w:p>
    <w:p>
      <w:pPr>
        <w:pStyle w:val="0"/>
        <w:spacing w:before="200" w:lineRule="auto"/>
        <w:ind w:firstLine="540"/>
        <w:jc w:val="both"/>
      </w:pPr>
      <w:r>
        <w:rPr>
          <w:sz w:val="20"/>
        </w:rPr>
        <w:t xml:space="preserve">расширение спектра программ дополнительного образования и увеличение числа социальных сертификатов;</w:t>
      </w:r>
    </w:p>
    <w:p>
      <w:pPr>
        <w:pStyle w:val="0"/>
        <w:spacing w:before="200" w:lineRule="auto"/>
        <w:ind w:firstLine="540"/>
        <w:jc w:val="both"/>
      </w:pPr>
      <w:r>
        <w:rPr>
          <w:sz w:val="20"/>
        </w:rPr>
        <w:t xml:space="preserve">повышение воспитательного потенциала образовательных организацией в том числе за счет использования ресурсов региональной инфраструктуры и внедрения регионального историко-культурного стандарта;</w:t>
      </w:r>
    </w:p>
    <w:p>
      <w:pPr>
        <w:pStyle w:val="0"/>
        <w:spacing w:before="200" w:lineRule="auto"/>
        <w:ind w:firstLine="540"/>
        <w:jc w:val="both"/>
      </w:pPr>
      <w:r>
        <w:rPr>
          <w:sz w:val="20"/>
        </w:rPr>
        <w:t xml:space="preserve">оптимизация сети образовательных организаций, реализующих образовательные программы СПО, в соответствии с потребностями экономики;</w:t>
      </w:r>
    </w:p>
    <w:p>
      <w:pPr>
        <w:pStyle w:val="0"/>
        <w:spacing w:before="200" w:lineRule="auto"/>
        <w:ind w:firstLine="540"/>
        <w:jc w:val="both"/>
      </w:pPr>
      <w:r>
        <w:rPr>
          <w:sz w:val="20"/>
        </w:rPr>
        <w:t xml:space="preserve">формирование региональных карт целей и приоритетов с учетом прогноза кадровой потребности Министерства труда и социальной защиты Российской Федерации и региональных инвестиционных проектов;</w:t>
      </w:r>
    </w:p>
    <w:p>
      <w:pPr>
        <w:pStyle w:val="0"/>
        <w:spacing w:before="200" w:lineRule="auto"/>
        <w:ind w:firstLine="540"/>
        <w:jc w:val="both"/>
      </w:pPr>
      <w:r>
        <w:rPr>
          <w:sz w:val="20"/>
        </w:rPr>
        <w:t xml:space="preserve">обеспечение маршрутизации выпускников по программам СПО на предприятия региона;</w:t>
      </w:r>
    </w:p>
    <w:p>
      <w:pPr>
        <w:pStyle w:val="0"/>
        <w:spacing w:before="200" w:lineRule="auto"/>
        <w:ind w:firstLine="540"/>
        <w:jc w:val="both"/>
      </w:pPr>
      <w:r>
        <w:rPr>
          <w:sz w:val="20"/>
        </w:rPr>
        <w:t xml:space="preserve">развитие федерального проекта "Профессионалитет";</w:t>
      </w:r>
    </w:p>
    <w:p>
      <w:pPr>
        <w:pStyle w:val="0"/>
        <w:spacing w:before="200" w:lineRule="auto"/>
        <w:ind w:firstLine="540"/>
        <w:jc w:val="both"/>
      </w:pPr>
      <w:r>
        <w:rPr>
          <w:sz w:val="20"/>
        </w:rPr>
        <w:t xml:space="preserve">организация участия региона в мероприятиях Всероссийского чемпионатного движения по профессиональному мастерству;</w:t>
      </w:r>
    </w:p>
    <w:p>
      <w:pPr>
        <w:pStyle w:val="0"/>
        <w:spacing w:before="200" w:lineRule="auto"/>
        <w:ind w:firstLine="540"/>
        <w:jc w:val="both"/>
      </w:pPr>
      <w:r>
        <w:rPr>
          <w:sz w:val="20"/>
        </w:rPr>
        <w:t xml:space="preserve">модернизация инфраструктуры организаций отдыха детей и их оздоровления;</w:t>
      </w:r>
    </w:p>
    <w:p>
      <w:pPr>
        <w:pStyle w:val="0"/>
        <w:spacing w:before="200" w:lineRule="auto"/>
        <w:ind w:firstLine="540"/>
        <w:jc w:val="both"/>
      </w:pPr>
      <w:r>
        <w:rPr>
          <w:sz w:val="20"/>
        </w:rPr>
        <w:t xml:space="preserve">повышение качества оказываемых услуг в сфере детского отдыха и оздоровления;</w:t>
      </w:r>
    </w:p>
    <w:p>
      <w:pPr>
        <w:pStyle w:val="0"/>
        <w:spacing w:before="200" w:lineRule="auto"/>
        <w:ind w:firstLine="540"/>
        <w:jc w:val="both"/>
      </w:pPr>
      <w:r>
        <w:rPr>
          <w:sz w:val="20"/>
        </w:rPr>
        <w:t xml:space="preserve">увеличение количества профильных смен, в том числе инклюзивных, в организациях отдыха детей и их оздоровления.</w:t>
      </w:r>
    </w:p>
    <w:p>
      <w:pPr>
        <w:pStyle w:val="0"/>
        <w:spacing w:before="200" w:lineRule="auto"/>
        <w:ind w:firstLine="540"/>
        <w:jc w:val="both"/>
      </w:pPr>
      <w:r>
        <w:rPr>
          <w:sz w:val="20"/>
        </w:rPr>
        <w:t xml:space="preserve">Мероприятия, направленные на развитие сферы образования:</w:t>
      </w:r>
    </w:p>
    <w:p>
      <w:pPr>
        <w:pStyle w:val="0"/>
        <w:spacing w:before="200" w:lineRule="auto"/>
        <w:ind w:firstLine="540"/>
        <w:jc w:val="both"/>
      </w:pPr>
      <w:r>
        <w:rPr>
          <w:sz w:val="20"/>
        </w:rPr>
        <w:t xml:space="preserve">обеспечение капитального ремонта дошкольных образовательных организаций на условиях софинансирования;</w:t>
      </w:r>
    </w:p>
    <w:p>
      <w:pPr>
        <w:pStyle w:val="0"/>
        <w:spacing w:before="200" w:lineRule="auto"/>
        <w:ind w:firstLine="540"/>
        <w:jc w:val="both"/>
      </w:pPr>
      <w:r>
        <w:rPr>
          <w:sz w:val="20"/>
        </w:rPr>
        <w:t xml:space="preserve">обновление инфраструктуры в 100% общеобразовательных организаций, предназначенной для занятий физической культурой и спортом, актовых залов, библиотек, кабинетов для организации воспитательной работы и дополнительного образования детей, создание школьных творческих и волонтерских центров, художественных мастерских, материально-техническое оснащение кабинетов для реализации образовательных программ основного общего и среднего общего образования по учебным предметам "Основы безопасности и защиты Родины", "Труд (Технология)";</w:t>
      </w:r>
    </w:p>
    <w:p>
      <w:pPr>
        <w:pStyle w:val="0"/>
        <w:spacing w:before="200" w:lineRule="auto"/>
        <w:ind w:firstLine="540"/>
        <w:jc w:val="both"/>
      </w:pPr>
      <w:r>
        <w:rPr>
          <w:sz w:val="20"/>
        </w:rPr>
        <w:t xml:space="preserve">обновление внутришкольного пространства в целях создания комфортных условий для пребывания обучающихся;</w:t>
      </w:r>
    </w:p>
    <w:p>
      <w:pPr>
        <w:pStyle w:val="0"/>
        <w:spacing w:before="200" w:lineRule="auto"/>
        <w:ind w:firstLine="540"/>
        <w:jc w:val="both"/>
      </w:pPr>
      <w:r>
        <w:rPr>
          <w:sz w:val="20"/>
        </w:rPr>
        <w:t xml:space="preserve">обеспечение подготовки специалистов среднего звена для отраслей образования, здравоохранения, культуры, сферы услуг, туризма и творческих индустрий в рамках федерального проекта "Профессионалитет";</w:t>
      </w:r>
    </w:p>
    <w:p>
      <w:pPr>
        <w:pStyle w:val="0"/>
        <w:spacing w:before="200" w:lineRule="auto"/>
        <w:ind w:firstLine="540"/>
        <w:jc w:val="both"/>
      </w:pPr>
      <w:r>
        <w:rPr>
          <w:sz w:val="20"/>
        </w:rPr>
        <w:t xml:space="preserve">обеспечение на условиях софинансирования ремонта и оснащения профессиональных образовательных организаций, в том числе находящихся на их территориях общежитий.</w:t>
      </w:r>
    </w:p>
    <w:p>
      <w:pPr>
        <w:pStyle w:val="0"/>
        <w:spacing w:before="200" w:lineRule="auto"/>
        <w:ind w:firstLine="540"/>
        <w:jc w:val="both"/>
      </w:pPr>
      <w:r>
        <w:rPr>
          <w:sz w:val="20"/>
        </w:rPr>
        <w:t xml:space="preserve">В частности, предполагается реализация следующих мероприятий:</w:t>
      </w:r>
    </w:p>
    <w:p>
      <w:pPr>
        <w:pStyle w:val="0"/>
        <w:spacing w:before="200" w:lineRule="auto"/>
        <w:ind w:firstLine="540"/>
        <w:jc w:val="both"/>
      </w:pPr>
      <w:r>
        <w:rPr>
          <w:sz w:val="20"/>
        </w:rPr>
        <w:t xml:space="preserve">ввод школы на 1100 мест (жилой комплекс "Суворовский");</w:t>
      </w:r>
    </w:p>
    <w:p>
      <w:pPr>
        <w:pStyle w:val="0"/>
        <w:spacing w:before="200" w:lineRule="auto"/>
        <w:ind w:firstLine="540"/>
        <w:jc w:val="both"/>
      </w:pPr>
      <w:r>
        <w:rPr>
          <w:sz w:val="20"/>
        </w:rPr>
        <w:t xml:space="preserve">ввод школы на 1100 мест (жилой комплекс "Платон Парк");</w:t>
      </w:r>
    </w:p>
    <w:p>
      <w:pPr>
        <w:pStyle w:val="0"/>
        <w:spacing w:before="200" w:lineRule="auto"/>
        <w:ind w:firstLine="540"/>
        <w:jc w:val="both"/>
      </w:pPr>
      <w:r>
        <w:rPr>
          <w:sz w:val="20"/>
        </w:rPr>
        <w:t xml:space="preserve">адресная программа капитальных ремонтов 25 школ и 16 дошкольных образовательных организаций;</w:t>
      </w:r>
    </w:p>
    <w:p>
      <w:pPr>
        <w:pStyle w:val="0"/>
        <w:spacing w:before="200" w:lineRule="auto"/>
        <w:ind w:firstLine="540"/>
        <w:jc w:val="both"/>
      </w:pPr>
      <w:r>
        <w:rPr>
          <w:sz w:val="20"/>
        </w:rPr>
        <w:t xml:space="preserve">модернизация недействующих детских оздоровительных лагерей;</w:t>
      </w:r>
    </w:p>
    <w:p>
      <w:pPr>
        <w:pStyle w:val="0"/>
        <w:spacing w:before="200" w:lineRule="auto"/>
        <w:ind w:firstLine="540"/>
        <w:jc w:val="both"/>
      </w:pPr>
      <w:r>
        <w:rPr>
          <w:sz w:val="20"/>
        </w:rPr>
        <w:t xml:space="preserve">выравнивание зарплат в дошкольных образовательных организациях и дополнительном образовании до целевых уровней;</w:t>
      </w:r>
    </w:p>
    <w:p>
      <w:pPr>
        <w:pStyle w:val="0"/>
        <w:spacing w:before="200" w:lineRule="auto"/>
        <w:ind w:firstLine="540"/>
        <w:jc w:val="both"/>
      </w:pPr>
      <w:r>
        <w:rPr>
          <w:sz w:val="20"/>
        </w:rPr>
        <w:t xml:space="preserve">расширение программ стажировок и наставничества в СПО;</w:t>
      </w:r>
    </w:p>
    <w:p>
      <w:pPr>
        <w:pStyle w:val="0"/>
        <w:spacing w:before="200" w:lineRule="auto"/>
        <w:ind w:firstLine="540"/>
        <w:jc w:val="both"/>
      </w:pPr>
      <w:r>
        <w:rPr>
          <w:sz w:val="20"/>
        </w:rPr>
        <w:t xml:space="preserve">повышение охвата дополнительным профессиональным образованием за счет ежегодного вовлечения не менее 10% педагогических работников (в том числе на базе ведущих образовательных организаций высшего образования и научно-исследовательских организаций);</w:t>
      </w:r>
    </w:p>
    <w:p>
      <w:pPr>
        <w:pStyle w:val="0"/>
        <w:spacing w:before="200" w:lineRule="auto"/>
        <w:ind w:firstLine="540"/>
        <w:jc w:val="both"/>
      </w:pPr>
      <w:r>
        <w:rPr>
          <w:sz w:val="20"/>
        </w:rPr>
        <w:t xml:space="preserve">развитие треков "школа - среднее профессиональное образование/высшее учебное заведение - работодатель";</w:t>
      </w:r>
    </w:p>
    <w:p>
      <w:pPr>
        <w:pStyle w:val="0"/>
        <w:spacing w:before="200" w:lineRule="auto"/>
        <w:ind w:firstLine="540"/>
        <w:jc w:val="both"/>
      </w:pPr>
      <w:r>
        <w:rPr>
          <w:sz w:val="20"/>
        </w:rPr>
        <w:t xml:space="preserve">расширение целевого набора;</w:t>
      </w:r>
    </w:p>
    <w:p>
      <w:pPr>
        <w:pStyle w:val="0"/>
        <w:spacing w:before="200" w:lineRule="auto"/>
        <w:ind w:firstLine="540"/>
        <w:jc w:val="both"/>
      </w:pPr>
      <w:r>
        <w:rPr>
          <w:sz w:val="20"/>
        </w:rPr>
        <w:t xml:space="preserve">интеграция показателей в единый цифровой контур мониторинга.</w:t>
      </w:r>
    </w:p>
    <w:p>
      <w:pPr>
        <w:pStyle w:val="0"/>
        <w:spacing w:before="200" w:lineRule="auto"/>
        <w:ind w:firstLine="540"/>
        <w:jc w:val="both"/>
      </w:pPr>
      <w:r>
        <w:rPr>
          <w:sz w:val="20"/>
        </w:rPr>
        <w:t xml:space="preserve">Стратегической целью является достижение к 2030 году "цифровой зрелости" государственного и муниципального управления в сфере образования.</w:t>
      </w:r>
    </w:p>
    <w:p>
      <w:pPr>
        <w:pStyle w:val="0"/>
        <w:spacing w:before="200" w:lineRule="auto"/>
        <w:ind w:firstLine="540"/>
        <w:jc w:val="both"/>
      </w:pPr>
      <w:r>
        <w:rPr>
          <w:sz w:val="20"/>
        </w:rPr>
        <w:t xml:space="preserve">В Тульской области во всех региональных и муниципальных образовательных организациях дополнительного, дошкольного, общего и среднего профессионального образовательного образования внедрена и используется Региональная информационная система управления сферой образования Тульской области (далее - РИС УСО ТО). За счет внедрения РИС УСО ТО для жителей региона доступны портал "Сетевой город", приложения "Арсенал услуг" и "Моя школа", предоставляющие доступ к электронному дневнику, "Навигатор дополнительного образования", с помощью которого можно организовать внеурочную деятельность обучающегося, выбрав занятие из множества кружков и секций в государственных и муниципальных учреждениях дополнительного образования. С помощью регионального и федерального портала государственных услуг направляют заявление в образовательную организацию, узнают результаты прохождения государственной итоговой аттестации, получают иные услуги в сфере образования.</w:t>
      </w:r>
    </w:p>
    <w:p>
      <w:pPr>
        <w:pStyle w:val="0"/>
        <w:spacing w:before="200" w:lineRule="auto"/>
        <w:ind w:firstLine="540"/>
        <w:jc w:val="both"/>
      </w:pPr>
      <w:r>
        <w:rPr>
          <w:sz w:val="20"/>
        </w:rPr>
        <w:t xml:space="preserve">В рамках национального проекта "Цифровая экономика Российской Федерации" все школы и организации СПО подключены к Единой сети передачи данных (далее - ЕСПД). ЕСПД - виртуальная сеть для доступа социально значимых объектов к государственным муниципальным и иным информационным системам и к информационно-телекоммуникационной сети "Интернет". Ядром сети является сервис контентной фильтрации для безопасного доступа к образовательным и информационным ресурсам.</w:t>
      </w:r>
    </w:p>
    <w:p>
      <w:pPr>
        <w:pStyle w:val="0"/>
        <w:spacing w:before="200" w:lineRule="auto"/>
        <w:ind w:firstLine="540"/>
        <w:jc w:val="both"/>
      </w:pPr>
      <w:r>
        <w:rPr>
          <w:sz w:val="20"/>
        </w:rPr>
        <w:t xml:space="preserve">В рамках федерального проекта "Цифровая образовательная среда" все школы Тульской области оснащены видеонаблюдением на входных группах и оборудованием для доступа в ЕСПД через технологию беспроводной передачи данных (далее - Wi-fi). При этом, отсутствовало централизованное оснащение организаций СПО вышеуказанным оборудованием.</w:t>
      </w:r>
    </w:p>
    <w:p>
      <w:pPr>
        <w:pStyle w:val="0"/>
        <w:spacing w:before="200" w:lineRule="auto"/>
        <w:ind w:firstLine="540"/>
        <w:jc w:val="both"/>
      </w:pPr>
      <w:r>
        <w:rPr>
          <w:sz w:val="20"/>
        </w:rPr>
        <w:t xml:space="preserve">Достижения и конкурентные преимущества:</w:t>
      </w:r>
    </w:p>
    <w:p>
      <w:pPr>
        <w:pStyle w:val="0"/>
        <w:spacing w:before="200" w:lineRule="auto"/>
        <w:ind w:firstLine="540"/>
        <w:jc w:val="both"/>
      </w:pPr>
      <w:r>
        <w:rPr>
          <w:sz w:val="20"/>
        </w:rPr>
        <w:t xml:space="preserve">использование единой информационной системы, позволяющей вести единую траекторию обучающегося от дошкольного до среднего профессионального образования;</w:t>
      </w:r>
    </w:p>
    <w:p>
      <w:pPr>
        <w:pStyle w:val="0"/>
        <w:spacing w:before="200" w:lineRule="auto"/>
        <w:ind w:firstLine="540"/>
        <w:jc w:val="both"/>
      </w:pPr>
      <w:r>
        <w:rPr>
          <w:sz w:val="20"/>
        </w:rPr>
        <w:t xml:space="preserve">интеграция РИС УСО ТО с Федеральной государственной информационной системой "Моя школа" (далее - ФГИС "Моя школа", позволяющей получать обучающимся общеобразовательных организаций равный доступ к цифровому образовательному контенту;</w:t>
      </w:r>
    </w:p>
    <w:p>
      <w:pPr>
        <w:pStyle w:val="0"/>
        <w:spacing w:before="200" w:lineRule="auto"/>
        <w:ind w:firstLine="540"/>
        <w:jc w:val="both"/>
      </w:pPr>
      <w:r>
        <w:rPr>
          <w:sz w:val="20"/>
        </w:rPr>
        <w:t xml:space="preserve">все организации среднего профессионального и общего образования подключены к ЕСПД;</w:t>
      </w:r>
    </w:p>
    <w:p>
      <w:pPr>
        <w:pStyle w:val="0"/>
        <w:spacing w:before="200" w:lineRule="auto"/>
        <w:ind w:firstLine="540"/>
        <w:jc w:val="both"/>
      </w:pPr>
      <w:r>
        <w:rPr>
          <w:sz w:val="20"/>
        </w:rPr>
        <w:t xml:space="preserve">все общеобразовательные организации оснащены оборудованием для доступа в ЕСПД через Wi-fi.</w:t>
      </w:r>
    </w:p>
    <w:p>
      <w:pPr>
        <w:pStyle w:val="0"/>
        <w:spacing w:before="200" w:lineRule="auto"/>
        <w:ind w:firstLine="540"/>
        <w:jc w:val="both"/>
      </w:pPr>
      <w:r>
        <w:rPr>
          <w:sz w:val="20"/>
        </w:rPr>
        <w:t xml:space="preserve">Задачи:</w:t>
      </w:r>
    </w:p>
    <w:p>
      <w:pPr>
        <w:pStyle w:val="0"/>
        <w:spacing w:before="200" w:lineRule="auto"/>
        <w:ind w:firstLine="540"/>
        <w:jc w:val="both"/>
      </w:pPr>
      <w:r>
        <w:rPr>
          <w:sz w:val="20"/>
        </w:rPr>
        <w:t xml:space="preserve">обеспечение всех обучающихся общеобразовательных организаций возможностью доступа к сервисам ФГИС "Моя школа";</w:t>
      </w:r>
    </w:p>
    <w:p>
      <w:pPr>
        <w:pStyle w:val="0"/>
        <w:spacing w:before="200" w:lineRule="auto"/>
        <w:ind w:firstLine="540"/>
        <w:jc w:val="both"/>
      </w:pPr>
      <w:r>
        <w:rPr>
          <w:sz w:val="20"/>
        </w:rPr>
        <w:t xml:space="preserve">обеспечение педагогов общеобразовательных организаций электронно-вычислительными устройствами под управлением отечественных операционных систем;</w:t>
      </w:r>
    </w:p>
    <w:p>
      <w:pPr>
        <w:pStyle w:val="0"/>
        <w:spacing w:before="200" w:lineRule="auto"/>
        <w:ind w:firstLine="540"/>
        <w:jc w:val="both"/>
      </w:pPr>
      <w:r>
        <w:rPr>
          <w:sz w:val="20"/>
        </w:rPr>
        <w:t xml:space="preserve">обеспечение доступа к ЕСПД с использованием Wi-fi в зданиях организаций СПО;</w:t>
      </w:r>
    </w:p>
    <w:p>
      <w:pPr>
        <w:pStyle w:val="0"/>
        <w:spacing w:before="200" w:lineRule="auto"/>
        <w:ind w:firstLine="540"/>
        <w:jc w:val="both"/>
      </w:pPr>
      <w:r>
        <w:rPr>
          <w:sz w:val="20"/>
        </w:rPr>
        <w:t xml:space="preserve">предоставление равного доступа к верифицированному цифровому образовательному контенту родителям, обучающимся и педагогам общеобразовательных организаций.</w:t>
      </w:r>
    </w:p>
    <w:p>
      <w:pPr>
        <w:pStyle w:val="0"/>
      </w:pPr>
      <w:r>
        <w:rPr>
          <w:sz w:val="20"/>
        </w:rPr>
      </w:r>
    </w:p>
    <w:p>
      <w:pPr>
        <w:pStyle w:val="2"/>
        <w:outlineLvl w:val="2"/>
        <w:jc w:val="center"/>
      </w:pPr>
      <w:r>
        <w:rPr>
          <w:sz w:val="20"/>
        </w:rPr>
        <w:t xml:space="preserve">4.12. Создание благоприятных условий для занятий физической</w:t>
      </w:r>
    </w:p>
    <w:p>
      <w:pPr>
        <w:pStyle w:val="2"/>
        <w:jc w:val="center"/>
      </w:pPr>
      <w:r>
        <w:rPr>
          <w:sz w:val="20"/>
        </w:rPr>
        <w:t xml:space="preserve">культурой и спортом на территории Тульской области</w:t>
      </w:r>
    </w:p>
    <w:p>
      <w:pPr>
        <w:pStyle w:val="0"/>
      </w:pPr>
      <w:r>
        <w:rPr>
          <w:sz w:val="20"/>
        </w:rPr>
      </w:r>
    </w:p>
    <w:p>
      <w:pPr>
        <w:pStyle w:val="0"/>
        <w:ind w:firstLine="540"/>
        <w:jc w:val="both"/>
      </w:pPr>
      <w:r>
        <w:rPr>
          <w:sz w:val="20"/>
        </w:rPr>
        <w:t xml:space="preserve">Современная спортивная инфраструктура Тульской области включает в себя более 2 тыс. спортивных объектов. За последние 8 лет в регионе построено более 200 новых спортивных объектов.</w:t>
      </w:r>
    </w:p>
    <w:p>
      <w:pPr>
        <w:pStyle w:val="0"/>
        <w:spacing w:before="200" w:lineRule="auto"/>
        <w:ind w:firstLine="540"/>
        <w:jc w:val="both"/>
      </w:pPr>
      <w:r>
        <w:rPr>
          <w:sz w:val="20"/>
        </w:rPr>
        <w:t xml:space="preserve">В соответствии с показателями государственной </w:t>
      </w:r>
      <w:hyperlink w:history="0" r:id="rId30" w:tooltip="Постановление правительства Тульской области от 09.11.2017 N 530 (ред. от 17.12.2025) &quot;Об утверждении государственной программы Тульской области &quot;Развитие физической культуры и спорта в Тульской области&quot; (вместе с &quot;Составом управляющего совета государственной программы Тульской области &quot;Развитие физической культуры и спорта в Тульской области&quot; по должностям&quot;) {КонсультантПлюс}">
        <w:r>
          <w:rPr>
            <w:sz w:val="20"/>
            <w:color w:val="0000ff"/>
          </w:rPr>
          <w:t xml:space="preserve">программы</w:t>
        </w:r>
      </w:hyperlink>
      <w:r>
        <w:rPr>
          <w:sz w:val="20"/>
        </w:rPr>
        <w:t xml:space="preserve"> Тульской области "Развитие физической культуры и спорта в Тульской области" достигнуты следующие результаты.</w:t>
      </w:r>
    </w:p>
    <w:p>
      <w:pPr>
        <w:pStyle w:val="0"/>
        <w:spacing w:before="200" w:lineRule="auto"/>
        <w:ind w:firstLine="540"/>
        <w:jc w:val="both"/>
      </w:pPr>
      <w:r>
        <w:rPr>
          <w:sz w:val="20"/>
        </w:rPr>
        <w:t xml:space="preserve">Доля граждан, систематически занимающихся физической культурой и спортом на конец 2025 года составила 61,62%, что позволило региону занять 3 место в ЦФО и 8 место среди всех субъектов Российской Федерации.</w:t>
      </w:r>
    </w:p>
    <w:p>
      <w:pPr>
        <w:pStyle w:val="0"/>
        <w:spacing w:before="200" w:lineRule="auto"/>
        <w:ind w:firstLine="540"/>
        <w:jc w:val="both"/>
      </w:pPr>
      <w:r>
        <w:rPr>
          <w:sz w:val="20"/>
        </w:rPr>
        <w:t xml:space="preserve">По итогам трех кварталов 2025 года доля граждан в возрасте 3 - 29 лет, систематически занимающихся физической культурой и спортом, в общей численности граждан данной возрастной категории составила 94,7%; доля граждан в возрасте от 30 до 54 лет включительно (женщины) и до 59 лет включительно (мужчины) - 53,5%; доля граждан в возрасте от 55 лет (женщины) и от 60 лет (мужчины) до 79 лет включительно - 24,2%.</w:t>
      </w:r>
    </w:p>
    <w:p>
      <w:pPr>
        <w:pStyle w:val="0"/>
        <w:spacing w:before="200" w:lineRule="auto"/>
        <w:ind w:firstLine="540"/>
        <w:jc w:val="both"/>
      </w:pPr>
      <w:r>
        <w:rPr>
          <w:sz w:val="20"/>
        </w:rPr>
        <w:t xml:space="preserve">Одним из приоритетных направлений государственной </w:t>
      </w:r>
      <w:hyperlink w:history="0" r:id="rId31" w:tooltip="Постановление правительства Тульской области от 09.11.2017 N 530 (ред. от 17.12.2025) &quot;Об утверждении государственной программы Тульской области &quot;Развитие физической культуры и спорта в Тульской области&quot; (вместе с &quot;Составом управляющего совета государственной программы Тульской области &quot;Развитие физической культуры и спорта в Тульской области&quot; по должностям&quot;) {КонсультантПлюс}">
        <w:r>
          <w:rPr>
            <w:sz w:val="20"/>
            <w:color w:val="0000ff"/>
          </w:rPr>
          <w:t xml:space="preserve">программы</w:t>
        </w:r>
      </w:hyperlink>
      <w:r>
        <w:rPr>
          <w:sz w:val="20"/>
        </w:rPr>
        <w:t xml:space="preserve"> Тульской области "Развитие физической культуры и спорта в Тульской области" является развитие адаптивной физической культуры и спорта. 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 не имеющего противопоказаний для занятий физической культурой и спортом, на 01.10.2025 составила 29,8%.</w:t>
      </w:r>
    </w:p>
    <w:p>
      <w:pPr>
        <w:pStyle w:val="0"/>
        <w:spacing w:before="200" w:lineRule="auto"/>
        <w:ind w:firstLine="540"/>
        <w:jc w:val="both"/>
      </w:pPr>
      <w:r>
        <w:rPr>
          <w:sz w:val="20"/>
        </w:rPr>
        <w:t xml:space="preserve">Организована реализация сдачи нормативов физкультурно-спортивного комплекса "ГТО", что дает абитуриентам возможность получать дополнительные баллы.</w:t>
      </w:r>
    </w:p>
    <w:p>
      <w:pPr>
        <w:pStyle w:val="0"/>
        <w:spacing w:before="200" w:lineRule="auto"/>
        <w:ind w:firstLine="540"/>
        <w:jc w:val="both"/>
      </w:pPr>
      <w:r>
        <w:rPr>
          <w:sz w:val="20"/>
        </w:rPr>
        <w:t xml:space="preserve">Осуществляется активная цифровизация отрасли, внедрен региональный навигатор физкультуры и спорта. В регионе высшие учебные заведения осуществляют образовательную деятельность по направлению подготовки "Физическая культура и спорт".</w:t>
      </w:r>
    </w:p>
    <w:p>
      <w:pPr>
        <w:pStyle w:val="0"/>
        <w:spacing w:before="200" w:lineRule="auto"/>
        <w:ind w:firstLine="540"/>
        <w:jc w:val="both"/>
      </w:pPr>
      <w:r>
        <w:rPr>
          <w:sz w:val="20"/>
        </w:rPr>
        <w:t xml:space="preserve">Уровень обеспеченности граждан спортивными сооружениями, исходя из единовременной пропускной способности объектов спорта, в 2025 году составил 71%.</w:t>
      </w:r>
    </w:p>
    <w:p>
      <w:pPr>
        <w:pStyle w:val="0"/>
        <w:spacing w:before="200" w:lineRule="auto"/>
        <w:ind w:firstLine="540"/>
        <w:jc w:val="both"/>
      </w:pPr>
      <w:r>
        <w:rPr>
          <w:sz w:val="20"/>
        </w:rPr>
        <w:t xml:space="preserve">Действует региональная программа развития детско-юношеского спорта до 2030 года. В регионе осуществляют свою деятельность 29 учреждений (6 спортивных школ, 7 спортивных школ олимпийского резерва, 1 училище олимпийского резерва, 1 центр спортивной подготовки, 14 других организаций).</w:t>
      </w:r>
    </w:p>
    <w:p>
      <w:pPr>
        <w:pStyle w:val="0"/>
        <w:spacing w:before="200" w:lineRule="auto"/>
        <w:ind w:firstLine="540"/>
        <w:jc w:val="both"/>
      </w:pPr>
      <w:r>
        <w:rPr>
          <w:sz w:val="20"/>
        </w:rPr>
        <w:t xml:space="preserve">Для развития массового и любительского спорта ежегодно проводятся массовые спортивные мероприятия, такие как: Лыжня России, Лыжня Веденина, Веденинский классический лыжный марафон, Ночная гонка Веденино, Веденинский лыжный марафон свободным стилем.</w:t>
      </w:r>
    </w:p>
    <w:p>
      <w:pPr>
        <w:pStyle w:val="0"/>
        <w:spacing w:before="200" w:lineRule="auto"/>
        <w:ind w:firstLine="540"/>
        <w:jc w:val="both"/>
      </w:pPr>
      <w:r>
        <w:rPr>
          <w:sz w:val="20"/>
        </w:rPr>
        <w:t xml:space="preserve">В целях пропаганды здорового образа жизни и привлечения различных категорий граждан и групп населения к систематическим занятиям в летний период проводятся ежегодные массовые физкультурные мероприятия, среди них: Тульский полумарафон "ЗаБег.РФ" в рамках национального проекта "Продолжительная и активная жизнь", "Забег Ясная Поляна Трейл", 12-й "Зеленый Марафон", фестиваль северной ходьбы "Ромашковый хоровод".</w:t>
      </w:r>
    </w:p>
    <w:p>
      <w:pPr>
        <w:pStyle w:val="0"/>
        <w:spacing w:before="200" w:lineRule="auto"/>
        <w:ind w:firstLine="540"/>
        <w:jc w:val="both"/>
      </w:pPr>
      <w:r>
        <w:rPr>
          <w:sz w:val="20"/>
        </w:rPr>
        <w:t xml:space="preserve">С 2025 года реализуются новые проекты: фестиваль походов выходного дня "Путь к здоровью", региональный проект "Здоровый муниципалитет".</w:t>
      </w:r>
    </w:p>
    <w:p>
      <w:pPr>
        <w:pStyle w:val="0"/>
        <w:spacing w:before="200" w:lineRule="auto"/>
        <w:ind w:firstLine="540"/>
        <w:jc w:val="both"/>
      </w:pPr>
      <w:r>
        <w:rPr>
          <w:sz w:val="20"/>
        </w:rPr>
        <w:t xml:space="preserve">Постоянно ведется работа по популяризации физкультурно-спортивного комплекса "ГТО".</w:t>
      </w:r>
    </w:p>
    <w:p>
      <w:pPr>
        <w:pStyle w:val="0"/>
        <w:spacing w:before="200" w:lineRule="auto"/>
        <w:ind w:firstLine="540"/>
        <w:jc w:val="both"/>
      </w:pPr>
      <w:r>
        <w:rPr>
          <w:sz w:val="20"/>
        </w:rPr>
        <w:t xml:space="preserve">Стратегическая цель развития физкультуры и спорта в Тульской области - расширение возможностей для жителей региона в части регулярных занятий физической культурой и спортом; увеличение вклада отрасли в выполнение демографических и социальных задач региона.</w:t>
      </w:r>
    </w:p>
    <w:p>
      <w:pPr>
        <w:pStyle w:val="0"/>
        <w:spacing w:before="200" w:lineRule="auto"/>
        <w:ind w:firstLine="540"/>
        <w:jc w:val="both"/>
      </w:pPr>
      <w:r>
        <w:rPr>
          <w:sz w:val="20"/>
        </w:rPr>
        <w:t xml:space="preserve">Достижение стратегической цели потребует решения следующих основных задач:</w:t>
      </w:r>
    </w:p>
    <w:p>
      <w:pPr>
        <w:pStyle w:val="0"/>
        <w:spacing w:before="200" w:lineRule="auto"/>
        <w:ind w:firstLine="540"/>
        <w:jc w:val="both"/>
      </w:pPr>
      <w:r>
        <w:rPr>
          <w:sz w:val="20"/>
        </w:rPr>
        <w:t xml:space="preserve">увеличение числа жителей региона, вовлеченных в систематические занятия физической культурой и спортом;</w:t>
      </w:r>
    </w:p>
    <w:p>
      <w:pPr>
        <w:pStyle w:val="0"/>
        <w:spacing w:before="200" w:lineRule="auto"/>
        <w:ind w:firstLine="540"/>
        <w:jc w:val="both"/>
      </w:pPr>
      <w:r>
        <w:rPr>
          <w:sz w:val="20"/>
        </w:rPr>
        <w:t xml:space="preserve">повышение эффективности использования существующих и строительство новых спортивных объектов;</w:t>
      </w:r>
    </w:p>
    <w:p>
      <w:pPr>
        <w:pStyle w:val="0"/>
        <w:spacing w:before="200" w:lineRule="auto"/>
        <w:ind w:firstLine="540"/>
        <w:jc w:val="both"/>
      </w:pPr>
      <w:r>
        <w:rPr>
          <w:sz w:val="20"/>
        </w:rPr>
        <w:t xml:space="preserve">расширение поддержки детских и юношеских спортивных школ и организаций, а также любительского спорта;</w:t>
      </w:r>
    </w:p>
    <w:p>
      <w:pPr>
        <w:pStyle w:val="0"/>
        <w:spacing w:before="200" w:lineRule="auto"/>
        <w:ind w:firstLine="540"/>
        <w:jc w:val="both"/>
      </w:pPr>
      <w:r>
        <w:rPr>
          <w:sz w:val="20"/>
        </w:rPr>
        <w:t xml:space="preserve">увеличение доли внебюджетного финансирования физкультуры и спорта в регионе (за счет привлечения частных инвесторов и средств населения);</w:t>
      </w:r>
    </w:p>
    <w:p>
      <w:pPr>
        <w:pStyle w:val="0"/>
        <w:spacing w:before="200" w:lineRule="auto"/>
        <w:ind w:firstLine="540"/>
        <w:jc w:val="both"/>
      </w:pPr>
      <w:r>
        <w:rPr>
          <w:sz w:val="20"/>
        </w:rPr>
        <w:t xml:space="preserve">создание условий для регулярных занятий физической культурой и спортом среди лиц с ограниченными возможностями здоровья и инвалидов;</w:t>
      </w:r>
    </w:p>
    <w:p>
      <w:pPr>
        <w:pStyle w:val="0"/>
        <w:spacing w:before="200" w:lineRule="auto"/>
        <w:ind w:firstLine="540"/>
        <w:jc w:val="both"/>
      </w:pPr>
      <w:r>
        <w:rPr>
          <w:sz w:val="20"/>
        </w:rPr>
        <w:t xml:space="preserve">создание объектов спортивной инфраструктуры в шаговой доступности, в том числе увеличение инклюзивных спортивных площадок и спортивных площадок, доступных для лиц с ограниченными возможностями здоровья;</w:t>
      </w:r>
    </w:p>
    <w:p>
      <w:pPr>
        <w:pStyle w:val="0"/>
        <w:spacing w:before="200" w:lineRule="auto"/>
        <w:ind w:firstLine="540"/>
        <w:jc w:val="both"/>
      </w:pPr>
      <w:r>
        <w:rPr>
          <w:sz w:val="20"/>
        </w:rPr>
        <w:t xml:space="preserve">увеличение числа учреждений, реализующих дополнительные общеобразовательные программы в области физической культуры и спорта (учитывая дополнительные образовательные программы спортивной подготовки), вне зависимости от ведомственной принадлежности органов управления этими учреждениями.</w:t>
      </w:r>
    </w:p>
    <w:p>
      <w:pPr>
        <w:pStyle w:val="0"/>
      </w:pPr>
      <w:r>
        <w:rPr>
          <w:sz w:val="20"/>
        </w:rPr>
      </w:r>
    </w:p>
    <w:p>
      <w:pPr>
        <w:pStyle w:val="2"/>
        <w:outlineLvl w:val="2"/>
        <w:jc w:val="center"/>
      </w:pPr>
      <w:r>
        <w:rPr>
          <w:sz w:val="20"/>
        </w:rPr>
        <w:t xml:space="preserve">4.13. Развитие добровольческой (волонтерской) деятельности</w:t>
      </w:r>
    </w:p>
    <w:p>
      <w:pPr>
        <w:pStyle w:val="0"/>
      </w:pPr>
      <w:r>
        <w:rPr>
          <w:sz w:val="20"/>
        </w:rPr>
      </w:r>
    </w:p>
    <w:p>
      <w:pPr>
        <w:pStyle w:val="0"/>
        <w:ind w:firstLine="540"/>
        <w:jc w:val="both"/>
      </w:pPr>
      <w:r>
        <w:rPr>
          <w:sz w:val="20"/>
        </w:rPr>
        <w:t xml:space="preserve">Расширение масштабов добровольческой деятельности напрямую связано с достижением национальной цели по реализации потенциала каждого человека, развитию его талантов, воспитанию патриотичной и социально ответственной личности.</w:t>
      </w:r>
    </w:p>
    <w:p>
      <w:pPr>
        <w:pStyle w:val="0"/>
        <w:spacing w:before="200" w:lineRule="auto"/>
        <w:ind w:firstLine="540"/>
        <w:jc w:val="both"/>
      </w:pPr>
      <w:r>
        <w:rPr>
          <w:sz w:val="20"/>
        </w:rPr>
        <w:t xml:space="preserve">В 2025 году в Тульской области число официально зарегистрированных добровольцев увеличилось по сравнению с предшествующим годом на 14,8 тыс. человек и достигло 109 тыс. При этом число верифицированных добровольческих мероприятий составило 28,8 тыс., увеличившись за год на 7,9 тыс.</w:t>
      </w:r>
    </w:p>
    <w:p>
      <w:pPr>
        <w:pStyle w:val="0"/>
        <w:spacing w:before="200" w:lineRule="auto"/>
        <w:ind w:firstLine="540"/>
        <w:jc w:val="both"/>
      </w:pPr>
      <w:r>
        <w:rPr>
          <w:sz w:val="20"/>
        </w:rPr>
        <w:t xml:space="preserve">В 2025 году в конкурс по предоставлению премий Правительства Тульской области для поддержки социально активных граждан введена новая номинация "Добровольческая (волонтерская) деятельность". Кроме того, учрежден почетный знак Тульской области "Волонтер Тульской области".</w:t>
      </w:r>
    </w:p>
    <w:p>
      <w:pPr>
        <w:pStyle w:val="0"/>
        <w:spacing w:before="200" w:lineRule="auto"/>
        <w:ind w:firstLine="540"/>
        <w:jc w:val="both"/>
      </w:pPr>
      <w:r>
        <w:rPr>
          <w:sz w:val="20"/>
        </w:rPr>
        <w:t xml:space="preserve">Стратегическая цель в сфере добровольческой деятельности - постоянное повышение уровня общественной солидарности и увеличение вклада граждан в решение задач развития Тульской области.</w:t>
      </w:r>
    </w:p>
    <w:p>
      <w:pPr>
        <w:pStyle w:val="0"/>
        <w:spacing w:before="200" w:lineRule="auto"/>
        <w:ind w:firstLine="540"/>
        <w:jc w:val="both"/>
      </w:pPr>
      <w:r>
        <w:rPr>
          <w:sz w:val="20"/>
        </w:rPr>
        <w:t xml:space="preserve">Достижению поставленной цели будет способствовать решение следующих основных задач:</w:t>
      </w:r>
    </w:p>
    <w:p>
      <w:pPr>
        <w:pStyle w:val="0"/>
        <w:spacing w:before="200" w:lineRule="auto"/>
        <w:ind w:firstLine="540"/>
        <w:jc w:val="both"/>
      </w:pPr>
      <w:r>
        <w:rPr>
          <w:sz w:val="20"/>
        </w:rPr>
        <w:t xml:space="preserve">увеличение числа жителей Тульской области, принимающих участие в добровольческой деятельности;</w:t>
      </w:r>
    </w:p>
    <w:p>
      <w:pPr>
        <w:pStyle w:val="0"/>
        <w:spacing w:before="200" w:lineRule="auto"/>
        <w:ind w:firstLine="540"/>
        <w:jc w:val="both"/>
      </w:pPr>
      <w:r>
        <w:rPr>
          <w:sz w:val="20"/>
        </w:rPr>
        <w:t xml:space="preserve">развитие инфраструктуры для поддержки добровольческой деятельности (центров поддержки, помещений для проведения мероприятий и т.д.);</w:t>
      </w:r>
    </w:p>
    <w:p>
      <w:pPr>
        <w:pStyle w:val="0"/>
        <w:spacing w:before="200" w:lineRule="auto"/>
        <w:ind w:firstLine="540"/>
        <w:jc w:val="both"/>
      </w:pPr>
      <w:r>
        <w:rPr>
          <w:sz w:val="20"/>
        </w:rPr>
        <w:t xml:space="preserve">расширение спектра инструментов, нацеленных на помощь волонтерам, а также их поощрение.</w:t>
      </w:r>
    </w:p>
    <w:p>
      <w:pPr>
        <w:pStyle w:val="0"/>
        <w:spacing w:before="200" w:lineRule="auto"/>
        <w:ind w:firstLine="540"/>
        <w:jc w:val="both"/>
      </w:pPr>
      <w:r>
        <w:rPr>
          <w:sz w:val="20"/>
        </w:rPr>
        <w:t xml:space="preserve">Выполнение указанных задач предполагает проведение следующих мероприятий:</w:t>
      </w:r>
    </w:p>
    <w:p>
      <w:pPr>
        <w:pStyle w:val="0"/>
        <w:spacing w:before="200" w:lineRule="auto"/>
        <w:ind w:firstLine="540"/>
        <w:jc w:val="both"/>
      </w:pPr>
      <w:r>
        <w:rPr>
          <w:sz w:val="20"/>
        </w:rPr>
        <w:t xml:space="preserve">создание к 2030 году Добро.Центров в каждом муниципальном образовании Тульской области;</w:t>
      </w:r>
    </w:p>
    <w:p>
      <w:pPr>
        <w:pStyle w:val="0"/>
        <w:spacing w:before="200" w:lineRule="auto"/>
        <w:ind w:firstLine="540"/>
        <w:jc w:val="both"/>
      </w:pPr>
      <w:r>
        <w:rPr>
          <w:sz w:val="20"/>
        </w:rPr>
        <w:t xml:space="preserve">вовлечение в добровольческую активность ветеранов и участников СВО;</w:t>
      </w:r>
    </w:p>
    <w:p>
      <w:pPr>
        <w:pStyle w:val="0"/>
        <w:spacing w:before="200" w:lineRule="auto"/>
        <w:ind w:firstLine="540"/>
        <w:jc w:val="both"/>
      </w:pPr>
      <w:r>
        <w:rPr>
          <w:sz w:val="20"/>
        </w:rPr>
        <w:t xml:space="preserve">развитие добровольческой деятельности, а также мер, направленных на поощрение активных волонтеров;</w:t>
      </w:r>
    </w:p>
    <w:p>
      <w:pPr>
        <w:pStyle w:val="0"/>
        <w:spacing w:before="200" w:lineRule="auto"/>
        <w:ind w:firstLine="540"/>
        <w:jc w:val="both"/>
      </w:pPr>
      <w:r>
        <w:rPr>
          <w:sz w:val="20"/>
        </w:rPr>
        <w:t xml:space="preserve">расширение масштабов регионального конкурса "Доброволец года", увеличение численности его участников;</w:t>
      </w:r>
    </w:p>
    <w:p>
      <w:pPr>
        <w:pStyle w:val="0"/>
        <w:spacing w:before="200" w:lineRule="auto"/>
        <w:ind w:firstLine="540"/>
        <w:jc w:val="both"/>
      </w:pPr>
      <w:r>
        <w:rPr>
          <w:sz w:val="20"/>
        </w:rPr>
        <w:t xml:space="preserve">расширение масштабов программы лояльности "Карта волонтера" и увеличение численности ее участников;</w:t>
      </w:r>
    </w:p>
    <w:p>
      <w:pPr>
        <w:pStyle w:val="0"/>
        <w:spacing w:before="200" w:lineRule="auto"/>
        <w:ind w:firstLine="540"/>
        <w:jc w:val="both"/>
      </w:pPr>
      <w:r>
        <w:rPr>
          <w:sz w:val="20"/>
        </w:rPr>
        <w:t xml:space="preserve">усиление информационной поддержки добровольческой деятельности.</w:t>
      </w:r>
    </w:p>
    <w:p>
      <w:pPr>
        <w:pStyle w:val="0"/>
      </w:pPr>
      <w:r>
        <w:rPr>
          <w:sz w:val="20"/>
        </w:rPr>
      </w:r>
    </w:p>
    <w:p>
      <w:pPr>
        <w:pStyle w:val="2"/>
        <w:outlineLvl w:val="2"/>
        <w:jc w:val="center"/>
      </w:pPr>
      <w:r>
        <w:rPr>
          <w:sz w:val="20"/>
        </w:rPr>
        <w:t xml:space="preserve">4.14. Развитие культуры</w:t>
      </w:r>
    </w:p>
    <w:p>
      <w:pPr>
        <w:pStyle w:val="0"/>
      </w:pPr>
      <w:r>
        <w:rPr>
          <w:sz w:val="20"/>
        </w:rPr>
      </w:r>
    </w:p>
    <w:p>
      <w:pPr>
        <w:pStyle w:val="0"/>
        <w:ind w:firstLine="540"/>
        <w:jc w:val="both"/>
      </w:pPr>
      <w:r>
        <w:rPr>
          <w:sz w:val="20"/>
        </w:rPr>
        <w:t xml:space="preserve">Тульская область обладает богатым культурно-историческим наследием. В регионе расположены такие выдающиеся культурные объекты общенационального значения как музей-усадьба Л.Н. Толстого "Ясная Поляна", музей-заповедник "Куликово поле", Тульский государственный музей оружия, государственный мемориальный историко-художественный и природный музей-заповедник В.Д. Поленова и единственный филиал Государственного исторического музея.</w:t>
      </w:r>
    </w:p>
    <w:p>
      <w:pPr>
        <w:pStyle w:val="0"/>
        <w:spacing w:before="200" w:lineRule="auto"/>
        <w:ind w:firstLine="540"/>
        <w:jc w:val="both"/>
      </w:pPr>
      <w:r>
        <w:rPr>
          <w:sz w:val="20"/>
        </w:rPr>
        <w:t xml:space="preserve">К важнейшим элементам культурного наследия следует также отнести хорошо известные достопримечательности (бренды) как тульское оружие, тульский пряник, тульский самовар, белевская пастила, филимоновская игрушка.</w:t>
      </w:r>
    </w:p>
    <w:p>
      <w:pPr>
        <w:pStyle w:val="0"/>
        <w:spacing w:before="200" w:lineRule="auto"/>
        <w:ind w:firstLine="540"/>
        <w:jc w:val="both"/>
      </w:pPr>
      <w:r>
        <w:rPr>
          <w:sz w:val="20"/>
        </w:rPr>
        <w:t xml:space="preserve">Инфраструктуру сферы культуры Тульской области представляют 396 библиотек, 362 культурно-досуговых учреждения, 120 музеев, 7 театров, 2 концертные организации, 40 учреждений образования, 3 профессиональные образовательные организации, 20 учреждений по кино и видео обслуживанию, экзотариум, цирк и прочие.</w:t>
      </w:r>
    </w:p>
    <w:p>
      <w:pPr>
        <w:pStyle w:val="0"/>
        <w:spacing w:before="200" w:lineRule="auto"/>
        <w:ind w:firstLine="540"/>
        <w:jc w:val="both"/>
      </w:pPr>
      <w:r>
        <w:rPr>
          <w:sz w:val="20"/>
        </w:rPr>
        <w:t xml:space="preserve">Численность работающих в сфере культуры составляет 6,1 тыс. человек (с учетом совместителей). В условиях информационного общества важна способность специалистов учреждений культуры быстро реагировать на запросы динамично меняющейся действительности. В этой связи обеспеченность сферы культуры профессиональными и в то же время креативными кадрами является одной из основных задач полноценного развития отрасли.</w:t>
      </w:r>
    </w:p>
    <w:p>
      <w:pPr>
        <w:pStyle w:val="0"/>
        <w:spacing w:before="200" w:lineRule="auto"/>
        <w:ind w:firstLine="540"/>
        <w:jc w:val="both"/>
      </w:pPr>
      <w:r>
        <w:rPr>
          <w:sz w:val="20"/>
        </w:rPr>
        <w:t xml:space="preserve">В 2024 году разработана и утверждена региональная программа развития кадрового потенциала учреждений культуры и искусства Тульской области до 2028 года.</w:t>
      </w:r>
    </w:p>
    <w:p>
      <w:pPr>
        <w:pStyle w:val="0"/>
        <w:spacing w:before="200" w:lineRule="auto"/>
        <w:ind w:firstLine="540"/>
        <w:jc w:val="both"/>
      </w:pPr>
      <w:r>
        <w:rPr>
          <w:sz w:val="20"/>
        </w:rPr>
        <w:t xml:space="preserve">В рамках национального проекта "Культура" за 2023 - 2024 годы курсы повышения квалификации в Центрах непрерывного образования и повышения квалификации творческих и управленческих кадров на базе высших учебных заведений Российской Федерации прошли 866 сотрудников сферы культуры. Ежегодно 220 сотрудников продолжают повышать квалификацию в данных центрах.</w:t>
      </w:r>
    </w:p>
    <w:p>
      <w:pPr>
        <w:pStyle w:val="0"/>
        <w:spacing w:before="200" w:lineRule="auto"/>
        <w:ind w:firstLine="540"/>
        <w:jc w:val="both"/>
      </w:pPr>
      <w:r>
        <w:rPr>
          <w:sz w:val="20"/>
        </w:rPr>
        <w:t xml:space="preserve">Благодаря программе "Земский работник культуры", в 2025 году 18 опытных специалистов из Республики Башкортостан, Орловской и Московской областей, Дальнего Востока пополнили ряды сотрудников учреждений культуры в селах, поселках и малых городах (до 50 тыс. жителей). В планах продолжить привлечение профессиональных сотрудников в рамках программы "Земский работник культуры" для работы преподавателями различных дисциплин в школах искусств, режиссерами, художественными руководителями, балетмейстерами, экскурсоводами и концертмейстерами.</w:t>
      </w:r>
    </w:p>
    <w:p>
      <w:pPr>
        <w:pStyle w:val="0"/>
        <w:spacing w:before="200" w:lineRule="auto"/>
        <w:ind w:firstLine="540"/>
        <w:jc w:val="both"/>
      </w:pPr>
      <w:r>
        <w:rPr>
          <w:sz w:val="20"/>
        </w:rPr>
        <w:t xml:space="preserve">Тульская область активно участвует в национальных и федеральных проектах. В частности, за 2020 - 2024 годы в рамках национального проекта "Культура" с привлечением средств федерального бюджета построен Центр культурного развития, проведен капитальный ремонт 20 сельских домов культуры, 4 муниципальных музеев, модернизированы 2 театра, 7 детских школ искусств, создано 11 модельных библиотек. В рамках федерального проекта "Местный дом культуры" за 2020 - 2024 годы в 92 объектах культурно-досугового типа проведено техническое оснащение, в 20 осуществлен текущий ремонт.</w:t>
      </w:r>
    </w:p>
    <w:p>
      <w:pPr>
        <w:pStyle w:val="0"/>
        <w:spacing w:before="200" w:lineRule="auto"/>
        <w:ind w:firstLine="540"/>
        <w:jc w:val="both"/>
      </w:pPr>
      <w:r>
        <w:rPr>
          <w:sz w:val="20"/>
        </w:rPr>
        <w:t xml:space="preserve">Сегодня посетителям доступны виртуальные туры и онлайн-коллекции в Музеях-заповедниках "Куликово поле" и "Ясная Поляна", Тульский кремль активно развивает виртуальные экспозиции, онлайн выставки и 3D-туры, использование аудиогидов.</w:t>
      </w:r>
    </w:p>
    <w:p>
      <w:pPr>
        <w:pStyle w:val="0"/>
        <w:spacing w:before="200" w:lineRule="auto"/>
        <w:ind w:firstLine="540"/>
        <w:jc w:val="both"/>
      </w:pPr>
      <w:r>
        <w:rPr>
          <w:sz w:val="20"/>
        </w:rPr>
        <w:t xml:space="preserve">В тульских библиотеках успешно реализуется проект "Цифровая культура", направленный на оцифровку книжных памятников, периодических изданий. На площадках учреждений культуры (колледжей, домов культуры, библиотек, музеев) созданы виртуальные концертные залы, оснащенные мультимедийным оборудованием и скоростным доступом к информационно-телекоммуникационной сети "Интернет", формат которых позволяет в онлайн режиме обеспечить жителям участие в знаковых федеральных и региональных культурных мероприятиях.</w:t>
      </w:r>
    </w:p>
    <w:p>
      <w:pPr>
        <w:pStyle w:val="0"/>
        <w:spacing w:before="200" w:lineRule="auto"/>
        <w:ind w:firstLine="540"/>
        <w:jc w:val="both"/>
      </w:pPr>
      <w:r>
        <w:rPr>
          <w:sz w:val="20"/>
        </w:rPr>
        <w:t xml:space="preserve">Стратегической целью развития культурной сферы Тульской области является реализация потенциала каждого человека, развитие его талантов, воспитание патриотичной и социально ответственной личности.</w:t>
      </w:r>
    </w:p>
    <w:p>
      <w:pPr>
        <w:pStyle w:val="0"/>
        <w:spacing w:before="200" w:lineRule="auto"/>
        <w:ind w:firstLine="540"/>
        <w:jc w:val="both"/>
      </w:pPr>
      <w:r>
        <w:rPr>
          <w:sz w:val="20"/>
        </w:rPr>
        <w:t xml:space="preserve">В рамках достижения поставленной стратегической цели предполагается выполнение следующих основных задач:</w:t>
      </w:r>
    </w:p>
    <w:p>
      <w:pPr>
        <w:pStyle w:val="0"/>
        <w:spacing w:before="200" w:lineRule="auto"/>
        <w:ind w:firstLine="540"/>
        <w:jc w:val="both"/>
      </w:pPr>
      <w:r>
        <w:rPr>
          <w:sz w:val="20"/>
        </w:rPr>
        <w:t xml:space="preserve">обеспечение и развитие деятельности организаций сферы культуры (библиотек, музеев, театров, концертных организаций, очагов традиционной народной культуры, организаций клубного типа, детских школ искусств, колледжей культуры и другое), в том числе:</w:t>
      </w:r>
    </w:p>
    <w:p>
      <w:pPr>
        <w:pStyle w:val="0"/>
        <w:spacing w:before="200" w:lineRule="auto"/>
        <w:ind w:firstLine="540"/>
        <w:jc w:val="both"/>
      </w:pPr>
      <w:r>
        <w:rPr>
          <w:sz w:val="20"/>
        </w:rPr>
        <w:t xml:space="preserve">модернизация (реинжиниринг) и повышение качества услуг, предоставляемых государственными и муниципальными организациями культуры;</w:t>
      </w:r>
    </w:p>
    <w:p>
      <w:pPr>
        <w:pStyle w:val="0"/>
        <w:spacing w:before="200" w:lineRule="auto"/>
        <w:ind w:firstLine="540"/>
        <w:jc w:val="both"/>
      </w:pPr>
      <w:r>
        <w:rPr>
          <w:sz w:val="20"/>
        </w:rPr>
        <w:t xml:space="preserve">повышение профессионального уровня работников государственных и муниципальных организаций культуры;</w:t>
      </w:r>
    </w:p>
    <w:p>
      <w:pPr>
        <w:pStyle w:val="0"/>
        <w:spacing w:before="200" w:lineRule="auto"/>
        <w:ind w:firstLine="540"/>
        <w:jc w:val="both"/>
      </w:pPr>
      <w:r>
        <w:rPr>
          <w:sz w:val="20"/>
        </w:rPr>
        <w:t xml:space="preserve">увеличение доли культурной сферы в ВРП путем развития креативных (творческих) индустрий;</w:t>
      </w:r>
    </w:p>
    <w:p>
      <w:pPr>
        <w:pStyle w:val="0"/>
        <w:spacing w:before="200" w:lineRule="auto"/>
        <w:ind w:firstLine="540"/>
        <w:jc w:val="both"/>
      </w:pPr>
      <w:r>
        <w:rPr>
          <w:sz w:val="20"/>
        </w:rPr>
        <w:t xml:space="preserve">реализация федерального проекта "Производительность труда" в сфере культуры Тульской области в рамках национального проекта "Эффективная и конкурентная экономика";</w:t>
      </w:r>
    </w:p>
    <w:p>
      <w:pPr>
        <w:pStyle w:val="0"/>
        <w:spacing w:before="200" w:lineRule="auto"/>
        <w:ind w:firstLine="540"/>
        <w:jc w:val="both"/>
      </w:pPr>
      <w:r>
        <w:rPr>
          <w:sz w:val="20"/>
        </w:rPr>
        <w:t xml:space="preserve">оснащение к 2030 году необходимым оборудованием до 10 центров воспроизведения аудиовизуального контента в малых населенных пунктах (с численностью населения до 50 тыс. человек) в целях обеспечения доступа граждан к достижениям современного российского кинематографа, подключение таких центров к единой цифровой платформе, содержащей в том числе библиотеку аудиовизуального контента;</w:t>
      </w:r>
    </w:p>
    <w:p>
      <w:pPr>
        <w:pStyle w:val="0"/>
        <w:spacing w:before="200" w:lineRule="auto"/>
        <w:ind w:firstLine="540"/>
        <w:jc w:val="both"/>
      </w:pPr>
      <w:r>
        <w:rPr>
          <w:sz w:val="20"/>
        </w:rPr>
        <w:t xml:space="preserve">повышение вовлеченности граждан в культурную деятельность организаций культуры, искусства и народного творчества, в том числе:</w:t>
      </w:r>
    </w:p>
    <w:p>
      <w:pPr>
        <w:pStyle w:val="0"/>
        <w:spacing w:before="200" w:lineRule="auto"/>
        <w:ind w:firstLine="540"/>
        <w:jc w:val="both"/>
      </w:pPr>
      <w:r>
        <w:rPr>
          <w:sz w:val="20"/>
        </w:rPr>
        <w:t xml:space="preserve">поддержка проектов, направленных на возрождение духовных традиций и сохранение национального культурного наследия, а также воспитание, просвещение и поддержку молодого поколения;</w:t>
      </w:r>
    </w:p>
    <w:p>
      <w:pPr>
        <w:pStyle w:val="0"/>
        <w:spacing w:before="200" w:lineRule="auto"/>
        <w:ind w:firstLine="540"/>
        <w:jc w:val="both"/>
      </w:pPr>
      <w:r>
        <w:rPr>
          <w:sz w:val="20"/>
        </w:rPr>
        <w:t xml:space="preserve">укрепление российской гражданской идентичности на основе традиционных духовно-нравственных российских ценностей;</w:t>
      </w:r>
    </w:p>
    <w:p>
      <w:pPr>
        <w:pStyle w:val="0"/>
        <w:spacing w:before="200" w:lineRule="auto"/>
        <w:ind w:firstLine="540"/>
        <w:jc w:val="both"/>
      </w:pPr>
      <w:r>
        <w:rPr>
          <w:sz w:val="20"/>
        </w:rPr>
        <w:t xml:space="preserve">поддержка деятелей российской культуры, художественных коллективов, творческих союзов и организаций;</w:t>
      </w:r>
    </w:p>
    <w:p>
      <w:pPr>
        <w:pStyle w:val="0"/>
        <w:spacing w:before="200" w:lineRule="auto"/>
        <w:ind w:firstLine="540"/>
        <w:jc w:val="both"/>
      </w:pPr>
      <w:r>
        <w:rPr>
          <w:sz w:val="20"/>
        </w:rPr>
        <w:t xml:space="preserve">улучшение информационного обеспечения и повышение прозрачности деятельности государственных и муниципальных организаций культуры;</w:t>
      </w:r>
    </w:p>
    <w:p>
      <w:pPr>
        <w:pStyle w:val="0"/>
        <w:spacing w:before="200" w:lineRule="auto"/>
        <w:ind w:firstLine="540"/>
        <w:jc w:val="both"/>
      </w:pPr>
      <w:r>
        <w:rPr>
          <w:sz w:val="20"/>
        </w:rPr>
        <w:t xml:space="preserve">увеличение доли молодых людей, вовлеченных в добровольческую и общественную деятельность, не менее чем до 45%, в том числе за счет следующих действий:</w:t>
      </w:r>
    </w:p>
    <w:p>
      <w:pPr>
        <w:pStyle w:val="0"/>
        <w:spacing w:before="200" w:lineRule="auto"/>
        <w:ind w:firstLine="540"/>
        <w:jc w:val="both"/>
      </w:pPr>
      <w:r>
        <w:rPr>
          <w:sz w:val="20"/>
        </w:rPr>
        <w:t xml:space="preserve">продвижение и поддержка талантливой молодежи в сфере искусства, в том числе путем проведения всероссийских, межрегиональных и областных творческих конкурсов и фестивалей;</w:t>
      </w:r>
    </w:p>
    <w:p>
      <w:pPr>
        <w:pStyle w:val="0"/>
        <w:spacing w:before="200" w:lineRule="auto"/>
        <w:ind w:firstLine="540"/>
        <w:jc w:val="both"/>
      </w:pPr>
      <w:r>
        <w:rPr>
          <w:sz w:val="20"/>
        </w:rPr>
        <w:t xml:space="preserve">создание и поддержка молодежных волонтерских центров в сфере культуры и туризма, предоставляющих возможности для участия в культурно просветительских и туристических мероприятиях;</w:t>
      </w:r>
    </w:p>
    <w:p>
      <w:pPr>
        <w:pStyle w:val="0"/>
        <w:spacing w:before="200" w:lineRule="auto"/>
        <w:ind w:firstLine="540"/>
        <w:jc w:val="both"/>
      </w:pPr>
      <w:r>
        <w:rPr>
          <w:sz w:val="20"/>
        </w:rPr>
        <w:t xml:space="preserve">повышение информированности молодежи о возможностях участия в добровольческой и общественной деятельности в сфере культуры;</w:t>
      </w:r>
    </w:p>
    <w:p>
      <w:pPr>
        <w:pStyle w:val="0"/>
        <w:spacing w:before="200" w:lineRule="auto"/>
        <w:ind w:firstLine="540"/>
        <w:jc w:val="both"/>
      </w:pPr>
      <w:r>
        <w:rPr>
          <w:sz w:val="20"/>
        </w:rPr>
        <w:t xml:space="preserve">содействие развитию молодежного самоуправления и участия молодежи в принятии решений, касающихся сферы культуры (Молодежное Правительство Тульской области);</w:t>
      </w:r>
    </w:p>
    <w:p>
      <w:pPr>
        <w:pStyle w:val="0"/>
        <w:spacing w:before="200" w:lineRule="auto"/>
        <w:ind w:firstLine="540"/>
        <w:jc w:val="both"/>
      </w:pPr>
      <w:r>
        <w:rPr>
          <w:sz w:val="20"/>
        </w:rPr>
        <w:t xml:space="preserve">обеспечение подключения к программе "Пушкинская карта" всех учреждений культуры и увеличение числа посещений мероприятий, организованных по этой программе;</w:t>
      </w:r>
    </w:p>
    <w:p>
      <w:pPr>
        <w:pStyle w:val="0"/>
        <w:spacing w:before="200" w:lineRule="auto"/>
        <w:ind w:firstLine="540"/>
        <w:jc w:val="both"/>
      </w:pPr>
      <w:r>
        <w:rPr>
          <w:sz w:val="20"/>
        </w:rPr>
        <w:t xml:space="preserve">модернизация инфраструктуры учреждений сферы культуры;</w:t>
      </w:r>
    </w:p>
    <w:p>
      <w:pPr>
        <w:pStyle w:val="0"/>
        <w:spacing w:before="200" w:lineRule="auto"/>
        <w:ind w:firstLine="540"/>
        <w:jc w:val="both"/>
      </w:pPr>
      <w:r>
        <w:rPr>
          <w:sz w:val="20"/>
        </w:rPr>
        <w:t xml:space="preserve">внедрение цифровых технологий в сфере культуры.</w:t>
      </w:r>
    </w:p>
    <w:p>
      <w:pPr>
        <w:pStyle w:val="0"/>
        <w:spacing w:before="200" w:lineRule="auto"/>
        <w:ind w:firstLine="540"/>
        <w:jc w:val="both"/>
      </w:pPr>
      <w:r>
        <w:rPr>
          <w:sz w:val="20"/>
        </w:rPr>
        <w:t xml:space="preserve">Важными точками роста для культуры региона будут масштабные федеральные проекты: празднование в 2028 году 200-летия Л.Н. Толстого и 650-летия Куликовской битвы в 2030 году.</w:t>
      </w:r>
    </w:p>
    <w:p>
      <w:pPr>
        <w:pStyle w:val="0"/>
        <w:spacing w:before="200" w:lineRule="auto"/>
        <w:ind w:firstLine="540"/>
        <w:jc w:val="both"/>
      </w:pPr>
      <w:r>
        <w:rPr>
          <w:sz w:val="20"/>
        </w:rPr>
        <w:t xml:space="preserve">В Тульской области услуги в сфере архивного дела оказывают 24 муниципальных и 1 государственный архив, на хранении которых находится более 3,4 млн. ед. хранения за период конца XV - начала XXI веков - один из крупнейших показателей в ЦФО.</w:t>
      </w:r>
    </w:p>
    <w:p>
      <w:pPr>
        <w:pStyle w:val="0"/>
        <w:spacing w:before="200" w:lineRule="auto"/>
        <w:ind w:firstLine="540"/>
        <w:jc w:val="both"/>
      </w:pPr>
      <w:r>
        <w:rPr>
          <w:sz w:val="20"/>
        </w:rPr>
        <w:t xml:space="preserve">В настоящее время выстроена централизованная система управления архивами региона, которая регулирует все вопросы архивной деятельности от государственного учета и регистрации запросов до создания массива электронного фонда пользования архивных документов и функционирования личного кабинета пользователя.</w:t>
      </w:r>
    </w:p>
    <w:p>
      <w:pPr>
        <w:pStyle w:val="0"/>
        <w:spacing w:before="200" w:lineRule="auto"/>
        <w:ind w:firstLine="540"/>
        <w:jc w:val="both"/>
      </w:pPr>
      <w:r>
        <w:rPr>
          <w:sz w:val="20"/>
        </w:rPr>
        <w:t xml:space="preserve">Оцифровано более 4,6 млн. листов документов архивного фонда Тульской области. Общее количество ед. хранения, имеющих электронный фонд пользования, составило 126823.</w:t>
      </w:r>
    </w:p>
    <w:p>
      <w:pPr>
        <w:pStyle w:val="0"/>
        <w:spacing w:before="200" w:lineRule="auto"/>
        <w:ind w:firstLine="540"/>
        <w:jc w:val="both"/>
      </w:pPr>
      <w:r>
        <w:rPr>
          <w:sz w:val="20"/>
        </w:rPr>
        <w:t xml:space="preserve">Доля государственных услуг в сфере архивного дела, предоставляемых государственным архивом физическим и юридическим лицам посредством сайта, портала государственных и муниципальных услуг (функций) Тульской области и Федерального государственного информационного ресурса "Единый портал государственных и муниципальных услуг (функций)", достигла 90%.</w:t>
      </w:r>
    </w:p>
    <w:p>
      <w:pPr>
        <w:pStyle w:val="0"/>
        <w:spacing w:before="200" w:lineRule="auto"/>
        <w:ind w:firstLine="540"/>
        <w:jc w:val="both"/>
      </w:pPr>
      <w:r>
        <w:rPr>
          <w:sz w:val="20"/>
        </w:rPr>
        <w:t xml:space="preserve">В целях развития архивной отрасли планируется:</w:t>
      </w:r>
    </w:p>
    <w:p>
      <w:pPr>
        <w:pStyle w:val="0"/>
        <w:spacing w:before="200" w:lineRule="auto"/>
        <w:ind w:firstLine="540"/>
        <w:jc w:val="both"/>
      </w:pPr>
      <w:r>
        <w:rPr>
          <w:sz w:val="20"/>
        </w:rPr>
        <w:t xml:space="preserve">расширение централизованной системы управления архивами Тульской области для использования во всех муниципальных образованиях до достижения охвата 100% архивной отрасли региона;</w:t>
      </w:r>
    </w:p>
    <w:p>
      <w:pPr>
        <w:pStyle w:val="0"/>
        <w:spacing w:before="200" w:lineRule="auto"/>
        <w:ind w:firstLine="540"/>
        <w:jc w:val="both"/>
      </w:pPr>
      <w:r>
        <w:rPr>
          <w:sz w:val="20"/>
        </w:rPr>
        <w:t xml:space="preserve">внедрение новых федеральных государственных информационных систем под эгидой Федерального архивного агентства (Росархив): Государственная информационная система удаленного использования архивных документов, Государственная информационная система "Платформа Центра хранения электронных документов";</w:t>
      </w:r>
    </w:p>
    <w:p>
      <w:pPr>
        <w:pStyle w:val="0"/>
        <w:spacing w:before="200" w:lineRule="auto"/>
        <w:ind w:firstLine="540"/>
        <w:jc w:val="both"/>
      </w:pPr>
      <w:r>
        <w:rPr>
          <w:sz w:val="20"/>
        </w:rPr>
        <w:t xml:space="preserve">100% исполнение запросов социально-правового характера, поступающих из Государственного учреждения - Социальный фонд Российской Федерации посредством Государственной информационной системы "Единая цифровая платформа".</w:t>
      </w:r>
    </w:p>
    <w:p>
      <w:pPr>
        <w:pStyle w:val="0"/>
      </w:pPr>
      <w:r>
        <w:rPr>
          <w:sz w:val="20"/>
        </w:rPr>
      </w:r>
    </w:p>
    <w:p>
      <w:pPr>
        <w:pStyle w:val="2"/>
        <w:outlineLvl w:val="2"/>
        <w:jc w:val="center"/>
      </w:pPr>
      <w:r>
        <w:rPr>
          <w:sz w:val="20"/>
        </w:rPr>
        <w:t xml:space="preserve">4.15. Развитие народных художественных промыслов и ремесел</w:t>
      </w:r>
    </w:p>
    <w:p>
      <w:pPr>
        <w:pStyle w:val="0"/>
      </w:pPr>
      <w:r>
        <w:rPr>
          <w:sz w:val="20"/>
        </w:rPr>
      </w:r>
    </w:p>
    <w:p>
      <w:pPr>
        <w:pStyle w:val="0"/>
        <w:ind w:firstLine="540"/>
        <w:jc w:val="both"/>
      </w:pPr>
      <w:r>
        <w:rPr>
          <w:sz w:val="20"/>
        </w:rPr>
        <w:t xml:space="preserve">Народные художественные промыслы и ремесла Тульской области обладают уникальной историей и богатейшим потенциалом. Здесь представлены знаменитые промыслы, такие как филимоновская игрушка, белевское кружево, производство самоваров и производство гармоней. Но, несмотря на богатое наследие, народные промыслы находятся в сложной ситуации.</w:t>
      </w:r>
    </w:p>
    <w:p>
      <w:pPr>
        <w:pStyle w:val="0"/>
        <w:spacing w:before="200" w:lineRule="auto"/>
        <w:ind w:firstLine="540"/>
        <w:jc w:val="both"/>
      </w:pPr>
      <w:r>
        <w:rPr>
          <w:sz w:val="20"/>
        </w:rPr>
        <w:t xml:space="preserve">Необходим комплексный подход к восстановлению и развитию народных художественных промыслов, способствующий сбережению культурного достояния и повышению качества жизни населения.</w:t>
      </w:r>
    </w:p>
    <w:p>
      <w:pPr>
        <w:pStyle w:val="0"/>
        <w:spacing w:before="200" w:lineRule="auto"/>
        <w:ind w:firstLine="540"/>
        <w:jc w:val="both"/>
      </w:pPr>
      <w:r>
        <w:rPr>
          <w:sz w:val="20"/>
        </w:rPr>
        <w:t xml:space="preserve">Решить данные проблемы возможно только путем системного реформирования и целенаправленного инвестирования в отрасль.</w:t>
      </w:r>
    </w:p>
    <w:p>
      <w:pPr>
        <w:pStyle w:val="0"/>
        <w:spacing w:before="200" w:lineRule="auto"/>
        <w:ind w:firstLine="540"/>
        <w:jc w:val="both"/>
      </w:pPr>
      <w:r>
        <w:rPr>
          <w:sz w:val="20"/>
        </w:rPr>
        <w:t xml:space="preserve">Стратегической целью является возрождение и развитие народных художественных промыслов и ремесел Тульской области, преобразование региона в центр русского прикладного искусства и народного творчества.</w:t>
      </w:r>
    </w:p>
    <w:p>
      <w:pPr>
        <w:pStyle w:val="0"/>
        <w:spacing w:before="200" w:lineRule="auto"/>
        <w:ind w:firstLine="540"/>
        <w:jc w:val="both"/>
      </w:pPr>
      <w:r>
        <w:rPr>
          <w:sz w:val="20"/>
        </w:rPr>
        <w:t xml:space="preserve">Для достижения поставленной цели необходимо решить следующие задачи:</w:t>
      </w:r>
    </w:p>
    <w:p>
      <w:pPr>
        <w:pStyle w:val="0"/>
        <w:spacing w:before="200" w:lineRule="auto"/>
        <w:ind w:firstLine="540"/>
        <w:jc w:val="both"/>
      </w:pPr>
      <w:r>
        <w:rPr>
          <w:sz w:val="20"/>
        </w:rPr>
        <w:t xml:space="preserve">воспроизводство и сохранение традиций. Передача знаний и навыков от опытных мастеров начинающим художникам и обучающимся;</w:t>
      </w:r>
    </w:p>
    <w:p>
      <w:pPr>
        <w:pStyle w:val="0"/>
        <w:spacing w:before="200" w:lineRule="auto"/>
        <w:ind w:firstLine="540"/>
        <w:jc w:val="both"/>
      </w:pPr>
      <w:r>
        <w:rPr>
          <w:sz w:val="20"/>
        </w:rPr>
        <w:t xml:space="preserve">маркетинг и продвижение. Продажа изделий народных промыслов через торговые точки, выставки-продажи, интернет-магазины и сувенирные лавки;</w:t>
      </w:r>
    </w:p>
    <w:p>
      <w:pPr>
        <w:pStyle w:val="0"/>
        <w:spacing w:before="200" w:lineRule="auto"/>
        <w:ind w:firstLine="540"/>
        <w:jc w:val="both"/>
      </w:pPr>
      <w:r>
        <w:rPr>
          <w:sz w:val="20"/>
        </w:rPr>
        <w:t xml:space="preserve">участие в конкурсах и выставках. Представление изделий народных промыслов на всероссийских и международных выставках и конкурсах;</w:t>
      </w:r>
    </w:p>
    <w:p>
      <w:pPr>
        <w:pStyle w:val="0"/>
        <w:spacing w:before="200" w:lineRule="auto"/>
        <w:ind w:firstLine="540"/>
        <w:jc w:val="both"/>
      </w:pPr>
      <w:r>
        <w:rPr>
          <w:sz w:val="20"/>
        </w:rPr>
        <w:t xml:space="preserve">развитие туризма и эколого-культурных маршрутов. Развитие арт-туризма, экскурсий по деревням и городам, где сохранились уникальные промыслы.</w:t>
      </w:r>
    </w:p>
    <w:p>
      <w:pPr>
        <w:pStyle w:val="0"/>
        <w:spacing w:before="200" w:lineRule="auto"/>
        <w:ind w:firstLine="540"/>
        <w:jc w:val="both"/>
      </w:pPr>
      <w:r>
        <w:rPr>
          <w:sz w:val="20"/>
        </w:rPr>
        <w:t xml:space="preserve">Выполнение указанных задач предполагает проведение следующих мероприятий:</w:t>
      </w:r>
    </w:p>
    <w:p>
      <w:pPr>
        <w:pStyle w:val="0"/>
        <w:spacing w:before="200" w:lineRule="auto"/>
        <w:ind w:firstLine="540"/>
        <w:jc w:val="both"/>
      </w:pPr>
      <w:r>
        <w:rPr>
          <w:sz w:val="20"/>
        </w:rPr>
        <w:t xml:space="preserve">развитие кооперации и объединение мастеров, создание кластеров народных промыслов, объединение цехов и гильдий;</w:t>
      </w:r>
    </w:p>
    <w:p>
      <w:pPr>
        <w:pStyle w:val="0"/>
        <w:spacing w:before="200" w:lineRule="auto"/>
        <w:ind w:firstLine="540"/>
        <w:jc w:val="both"/>
      </w:pPr>
      <w:r>
        <w:rPr>
          <w:sz w:val="20"/>
        </w:rPr>
        <w:t xml:space="preserve">организация обучения и повышение квалификации специалистов: курсы повышения квалификации, стажировки, учебные классы и лабораторные эксперименты;</w:t>
      </w:r>
    </w:p>
    <w:p>
      <w:pPr>
        <w:pStyle w:val="0"/>
        <w:spacing w:before="200" w:lineRule="auto"/>
        <w:ind w:firstLine="540"/>
        <w:jc w:val="both"/>
      </w:pPr>
      <w:r>
        <w:rPr>
          <w:sz w:val="20"/>
        </w:rPr>
        <w:t xml:space="preserve">проведение исследований и разработок: научные исследования и экспериментальные образцы изделий народных промыслов;</w:t>
      </w:r>
    </w:p>
    <w:p>
      <w:pPr>
        <w:pStyle w:val="0"/>
        <w:spacing w:before="200" w:lineRule="auto"/>
        <w:ind w:firstLine="540"/>
        <w:jc w:val="both"/>
      </w:pPr>
      <w:r>
        <w:rPr>
          <w:sz w:val="20"/>
        </w:rPr>
        <w:t xml:space="preserve">поддержка маркетинга и продаж: выставки-продажи, ярмарки, рекламные кампании и Интернет-коммуникации;</w:t>
      </w:r>
    </w:p>
    <w:p>
      <w:pPr>
        <w:pStyle w:val="0"/>
        <w:spacing w:before="200" w:lineRule="auto"/>
        <w:ind w:firstLine="540"/>
        <w:jc w:val="both"/>
      </w:pPr>
      <w:r>
        <w:rPr>
          <w:sz w:val="20"/>
        </w:rPr>
        <w:t xml:space="preserve">формирование комплексных туристических маршрутов, включая интеграцию народных художественных промыслов в событийную программу региона;</w:t>
      </w:r>
    </w:p>
    <w:p>
      <w:pPr>
        <w:pStyle w:val="0"/>
        <w:spacing w:before="200" w:lineRule="auto"/>
        <w:ind w:firstLine="540"/>
        <w:jc w:val="both"/>
      </w:pPr>
      <w:r>
        <w:rPr>
          <w:sz w:val="20"/>
        </w:rPr>
        <w:t xml:space="preserve">внедрение новых технологий и автоматизированных машин для увеличения производительности и качества продукции.</w:t>
      </w:r>
    </w:p>
    <w:p>
      <w:pPr>
        <w:pStyle w:val="0"/>
      </w:pPr>
      <w:r>
        <w:rPr>
          <w:sz w:val="20"/>
        </w:rPr>
      </w:r>
    </w:p>
    <w:p>
      <w:pPr>
        <w:pStyle w:val="2"/>
        <w:outlineLvl w:val="2"/>
        <w:jc w:val="center"/>
      </w:pPr>
      <w:r>
        <w:rPr>
          <w:sz w:val="20"/>
        </w:rPr>
        <w:t xml:space="preserve">4.16. Сохранение исторического и культурного наследия</w:t>
      </w:r>
    </w:p>
    <w:p>
      <w:pPr>
        <w:pStyle w:val="0"/>
      </w:pPr>
      <w:r>
        <w:rPr>
          <w:sz w:val="20"/>
        </w:rPr>
      </w:r>
    </w:p>
    <w:p>
      <w:pPr>
        <w:pStyle w:val="0"/>
        <w:ind w:firstLine="540"/>
        <w:jc w:val="both"/>
      </w:pPr>
      <w:r>
        <w:rPr>
          <w:sz w:val="20"/>
        </w:rPr>
        <w:t xml:space="preserve">Историческое и культурное наследие Тульской области обладает огромной ценностью и отражает тысячелетнюю историю края. Древние города, монастыри, усадьбы, памятники археологии и архитектуры образуют уникальное культурное пространство, имеющее общероссийское и мировое значение. Однако современное состояние многих объектов наследия вызывает тревогу. Наблюдается разрушение архитектурных ансамблей, утрата ценных предметов старины, нарушение историко-градостроительной целостности городов и сел.</w:t>
      </w:r>
    </w:p>
    <w:p>
      <w:pPr>
        <w:pStyle w:val="0"/>
        <w:spacing w:before="200" w:lineRule="auto"/>
        <w:ind w:firstLine="540"/>
        <w:jc w:val="both"/>
      </w:pPr>
      <w:r>
        <w:rPr>
          <w:sz w:val="20"/>
        </w:rPr>
        <w:t xml:space="preserve">По официальным данным Министерства культуры Российской Федерации около трети объектов культурного наследия Тульской области находится в неудовлетворительном состоянии, треть подлежит реставрации, а около половины требуют неотложных ремонтных работ.</w:t>
      </w:r>
    </w:p>
    <w:p>
      <w:pPr>
        <w:pStyle w:val="0"/>
        <w:spacing w:before="200" w:lineRule="auto"/>
        <w:ind w:firstLine="540"/>
        <w:jc w:val="both"/>
      </w:pPr>
      <w:r>
        <w:rPr>
          <w:sz w:val="20"/>
        </w:rPr>
        <w:t xml:space="preserve">Необходима специальная программа, способствующая не только сохранению объектов культурного наследия, но и их популяризации, развитию туристической привлекательности и научно-исследовательской деятельности.</w:t>
      </w:r>
    </w:p>
    <w:p>
      <w:pPr>
        <w:pStyle w:val="0"/>
        <w:spacing w:before="200" w:lineRule="auto"/>
        <w:ind w:firstLine="540"/>
        <w:jc w:val="both"/>
      </w:pPr>
      <w:r>
        <w:rPr>
          <w:sz w:val="20"/>
        </w:rPr>
        <w:t xml:space="preserve">Стратегической целью является сохранение, реставрация объектов культурного наследия Тульской области, повышение их исторической и культурной значимости и создание условий для широкого доступа к ним населения и туристов.</w:t>
      </w:r>
    </w:p>
    <w:p>
      <w:pPr>
        <w:pStyle w:val="0"/>
        <w:spacing w:before="200" w:lineRule="auto"/>
        <w:ind w:firstLine="540"/>
        <w:jc w:val="both"/>
      </w:pPr>
      <w:r>
        <w:rPr>
          <w:sz w:val="20"/>
        </w:rPr>
        <w:t xml:space="preserve">Достижению поставленной цели будет способствовать решение следующих основных задач:</w:t>
      </w:r>
    </w:p>
    <w:p>
      <w:pPr>
        <w:pStyle w:val="0"/>
        <w:spacing w:before="200" w:lineRule="auto"/>
        <w:ind w:firstLine="540"/>
        <w:jc w:val="both"/>
      </w:pPr>
      <w:r>
        <w:rPr>
          <w:sz w:val="20"/>
        </w:rPr>
        <w:t xml:space="preserve">выявление и учет объектов культурного наследия;</w:t>
      </w:r>
    </w:p>
    <w:p>
      <w:pPr>
        <w:pStyle w:val="0"/>
        <w:spacing w:before="200" w:lineRule="auto"/>
        <w:ind w:firstLine="540"/>
        <w:jc w:val="both"/>
      </w:pPr>
      <w:r>
        <w:rPr>
          <w:sz w:val="20"/>
        </w:rPr>
        <w:t xml:space="preserve">исследование истории, архитектуры и этнографии региона, создание научной документации и составление подробных отчетов;</w:t>
      </w:r>
    </w:p>
    <w:p>
      <w:pPr>
        <w:pStyle w:val="0"/>
        <w:spacing w:before="200" w:lineRule="auto"/>
        <w:ind w:firstLine="540"/>
        <w:jc w:val="both"/>
      </w:pPr>
      <w:r>
        <w:rPr>
          <w:sz w:val="20"/>
        </w:rPr>
        <w:t xml:space="preserve">планомерная реставрация объектов культурного наследия;</w:t>
      </w:r>
    </w:p>
    <w:p>
      <w:pPr>
        <w:pStyle w:val="0"/>
        <w:spacing w:before="200" w:lineRule="auto"/>
        <w:ind w:firstLine="540"/>
        <w:jc w:val="both"/>
      </w:pPr>
      <w:r>
        <w:rPr>
          <w:sz w:val="20"/>
        </w:rPr>
        <w:t xml:space="preserve">обеспечение охраны и защиты объектов культурного наследия;</w:t>
      </w:r>
    </w:p>
    <w:p>
      <w:pPr>
        <w:pStyle w:val="0"/>
        <w:spacing w:before="200" w:lineRule="auto"/>
        <w:ind w:firstLine="540"/>
        <w:jc w:val="both"/>
      </w:pPr>
      <w:r>
        <w:rPr>
          <w:sz w:val="20"/>
        </w:rPr>
        <w:t xml:space="preserve">продвижение объектов культурного наследия в средствах массовой информации и социальных сетях;</w:t>
      </w:r>
    </w:p>
    <w:p>
      <w:pPr>
        <w:pStyle w:val="0"/>
        <w:spacing w:before="200" w:lineRule="auto"/>
        <w:ind w:firstLine="540"/>
        <w:jc w:val="both"/>
      </w:pPr>
      <w:r>
        <w:rPr>
          <w:sz w:val="20"/>
        </w:rPr>
        <w:t xml:space="preserve">повышение туристической привлекательности объектов культурного наследия.</w:t>
      </w:r>
    </w:p>
    <w:p>
      <w:pPr>
        <w:pStyle w:val="0"/>
        <w:spacing w:before="200" w:lineRule="auto"/>
        <w:ind w:firstLine="540"/>
        <w:jc w:val="both"/>
      </w:pPr>
      <w:r>
        <w:rPr>
          <w:sz w:val="20"/>
        </w:rPr>
        <w:t xml:space="preserve">Выполнение указанных задач предполагает проведение следующих мероприятий:</w:t>
      </w:r>
    </w:p>
    <w:p>
      <w:pPr>
        <w:pStyle w:val="0"/>
        <w:spacing w:before="200" w:lineRule="auto"/>
        <w:ind w:firstLine="540"/>
        <w:jc w:val="both"/>
      </w:pPr>
      <w:r>
        <w:rPr>
          <w:sz w:val="20"/>
        </w:rPr>
        <w:t xml:space="preserve">наполнение Единого государственного реестра недвижимости сведениями об отнесении объектов недвижимости к объектам культурного наследия и его актуализация;</w:t>
      </w:r>
    </w:p>
    <w:p>
      <w:pPr>
        <w:pStyle w:val="0"/>
        <w:spacing w:before="200" w:lineRule="auto"/>
        <w:ind w:firstLine="540"/>
        <w:jc w:val="both"/>
      </w:pPr>
      <w:r>
        <w:rPr>
          <w:sz w:val="20"/>
        </w:rPr>
        <w:t xml:space="preserve">координация работы по пресечению, предупреждению и профилактике нарушений федерального законодательства об охране культурного наследия в отношении территорий музеев-заповедников и музеев-усадеб;</w:t>
      </w:r>
    </w:p>
    <w:p>
      <w:pPr>
        <w:pStyle w:val="0"/>
        <w:spacing w:before="200" w:lineRule="auto"/>
        <w:ind w:firstLine="540"/>
        <w:jc w:val="both"/>
      </w:pPr>
      <w:r>
        <w:rPr>
          <w:sz w:val="20"/>
        </w:rPr>
        <w:t xml:space="preserve">осуществление регионального и федерального государственного контроля (надзора) за состоянием, содержанием и сохранением объектов культурного наследия;</w:t>
      </w:r>
    </w:p>
    <w:p>
      <w:pPr>
        <w:pStyle w:val="0"/>
        <w:spacing w:before="200" w:lineRule="auto"/>
        <w:ind w:firstLine="540"/>
        <w:jc w:val="both"/>
      </w:pPr>
      <w:r>
        <w:rPr>
          <w:sz w:val="20"/>
        </w:rPr>
        <w:t xml:space="preserve">популяризация объектов культурного наследия и повышение их туристической привлекательности.</w:t>
      </w:r>
    </w:p>
    <w:p>
      <w:pPr>
        <w:pStyle w:val="0"/>
        <w:spacing w:before="200" w:lineRule="auto"/>
        <w:ind w:firstLine="540"/>
        <w:jc w:val="both"/>
      </w:pPr>
      <w:r>
        <w:rPr>
          <w:sz w:val="20"/>
        </w:rPr>
        <w:t xml:space="preserve">Воплощение изложенных мер позволит обеспечить сохранность и приумножение культурного богатства Тульской области, придать новый импульс ее развитию, сделать регион привлекательным для внутреннего и международного туризма, усилить национальную идентичность и патриотическое сознание граждан, а также создать уникальную площадку для культурного обмена и развития цивилизованного общества.</w:t>
      </w:r>
    </w:p>
    <w:p>
      <w:pPr>
        <w:pStyle w:val="0"/>
      </w:pPr>
      <w:r>
        <w:rPr>
          <w:sz w:val="20"/>
        </w:rPr>
      </w:r>
    </w:p>
    <w:p>
      <w:pPr>
        <w:pStyle w:val="2"/>
        <w:outlineLvl w:val="2"/>
        <w:jc w:val="center"/>
      </w:pPr>
      <w:r>
        <w:rPr>
          <w:sz w:val="20"/>
        </w:rPr>
        <w:t xml:space="preserve">4.17. Развитие рынка труда и обеспечение занятости населения</w:t>
      </w:r>
    </w:p>
    <w:p>
      <w:pPr>
        <w:pStyle w:val="0"/>
      </w:pPr>
      <w:r>
        <w:rPr>
          <w:sz w:val="20"/>
        </w:rPr>
      </w:r>
    </w:p>
    <w:p>
      <w:pPr>
        <w:pStyle w:val="0"/>
        <w:ind w:firstLine="540"/>
        <w:jc w:val="both"/>
      </w:pPr>
      <w:r>
        <w:rPr>
          <w:sz w:val="20"/>
        </w:rPr>
        <w:t xml:space="preserve">В 2024 году численность трудовых ресурсов Тульской области составила 878,8 тыс. человек, увеличившись на 1,3% по сравнению с 2023 годом (867,2 тыс. человек). Такая динамика численности трудовых ресурсов в значительной степени обусловлена увеличением численности трудоспособного населения. В структуре источников трудовых ресурсов 86% составляет трудоспособное население. Работающие лица за пределами трудоспособного возраста в 2024 году составляли около 9,2% от численности трудовых ресурсов, продолжая оставаться важным источником трудовых ресурсов региона. По данным баланса трудовых ресурсов в экономике области занято около 44 тыс. иностранных трудовых мигрантов, что составляло 5,0% и 0,6% от численности трудовых ресурсов и среднегодовой численности занятого населения соответственно. Тульская область характеризуется отрицательным сальдо межрегиональной трудовой миграции (минус 35,9 тыс. человек в 2024 году), что негативным образом влияет на численность трудовых ресурсов.</w:t>
      </w:r>
    </w:p>
    <w:p>
      <w:pPr>
        <w:pStyle w:val="0"/>
        <w:spacing w:before="200" w:lineRule="auto"/>
        <w:ind w:firstLine="540"/>
        <w:jc w:val="both"/>
      </w:pPr>
      <w:r>
        <w:rPr>
          <w:sz w:val="20"/>
        </w:rPr>
        <w:t xml:space="preserve">В структуре занятого населения наибольший удельный вес (23,3% в 2024 году) приходится на обрабатывающие производства, оптовую и розничную торговлю; ремонт автотранспортных средств и мотоциклов (16,4%), строительство (8,0%). В отраслях социальной сферы трудятся более 15% всех занятых.</w:t>
      </w:r>
    </w:p>
    <w:p>
      <w:pPr>
        <w:pStyle w:val="0"/>
      </w:pPr>
      <w:r>
        <w:rPr>
          <w:sz w:val="20"/>
        </w:rPr>
      </w:r>
    </w:p>
    <w:p>
      <w:pPr>
        <w:pStyle w:val="2"/>
        <w:outlineLvl w:val="3"/>
        <w:jc w:val="center"/>
      </w:pPr>
      <w:r>
        <w:rPr>
          <w:sz w:val="20"/>
        </w:rPr>
        <w:t xml:space="preserve">Структура занятого в экономике Тульской области населения</w:t>
      </w:r>
    </w:p>
    <w:p>
      <w:pPr>
        <w:pStyle w:val="2"/>
        <w:jc w:val="center"/>
      </w:pPr>
      <w:r>
        <w:rPr>
          <w:sz w:val="20"/>
        </w:rPr>
        <w:t xml:space="preserve">по видам экономической деятельности, в % к итогу</w:t>
      </w:r>
    </w:p>
    <w:p>
      <w:pPr>
        <w:pStyle w:val="0"/>
      </w:pPr>
      <w:r>
        <w:rPr>
          <w:sz w:val="20"/>
        </w:rPr>
      </w:r>
    </w:p>
    <w:p>
      <w:pPr>
        <w:pStyle w:val="0"/>
        <w:jc w:val="right"/>
      </w:pPr>
      <w:r>
        <w:rPr>
          <w:sz w:val="20"/>
        </w:rPr>
        <w:t xml:space="preserve">Таблица 4</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917"/>
        <w:gridCol w:w="988"/>
        <w:gridCol w:w="1110"/>
      </w:tblGrid>
      <w:tr>
        <w:tc>
          <w:tcPr>
            <w:tcW w:w="6917" w:type="dxa"/>
          </w:tcPr>
          <w:p>
            <w:pPr>
              <w:pStyle w:val="0"/>
              <w:jc w:val="center"/>
            </w:pPr>
            <w:r>
              <w:rPr>
                <w:sz w:val="20"/>
              </w:rPr>
              <w:t xml:space="preserve">Виды экономической деятельности</w:t>
            </w:r>
          </w:p>
        </w:tc>
        <w:tc>
          <w:tcPr>
            <w:tcW w:w="988" w:type="dxa"/>
          </w:tcPr>
          <w:p>
            <w:pPr>
              <w:pStyle w:val="0"/>
              <w:jc w:val="center"/>
            </w:pPr>
            <w:r>
              <w:rPr>
                <w:sz w:val="20"/>
              </w:rPr>
              <w:t xml:space="preserve">2023</w:t>
            </w:r>
          </w:p>
        </w:tc>
        <w:tc>
          <w:tcPr>
            <w:tcW w:w="1110" w:type="dxa"/>
          </w:tcPr>
          <w:p>
            <w:pPr>
              <w:pStyle w:val="0"/>
              <w:jc w:val="center"/>
            </w:pPr>
            <w:r>
              <w:rPr>
                <w:sz w:val="20"/>
              </w:rPr>
              <w:t xml:space="preserve">2024</w:t>
            </w:r>
          </w:p>
        </w:tc>
      </w:tr>
      <w:tr>
        <w:tc>
          <w:tcPr>
            <w:tcW w:w="6917" w:type="dxa"/>
          </w:tcPr>
          <w:p>
            <w:pPr>
              <w:pStyle w:val="0"/>
            </w:pPr>
            <w:r>
              <w:rPr>
                <w:sz w:val="20"/>
              </w:rPr>
              <w:t xml:space="preserve">Численность занятых в экономике - всего, в том числе по разделам </w:t>
            </w:r>
            <w:hyperlink w:history="0" r:id="rId32" w:tooltip="&quot;ОК 029-2014 (КДЕС Ред. 2). Общероссийский классификатор видов экономической деятельности&quot; (утв. Приказом Росстандарта от 31.01.2014 N 14-ст) (ред. от 02.06.2026) {КонсультантПлюс}">
              <w:r>
                <w:rPr>
                  <w:sz w:val="20"/>
                  <w:color w:val="0000ff"/>
                </w:rPr>
                <w:t xml:space="preserve">ОКВЭД</w:t>
              </w:r>
            </w:hyperlink>
            <w:r>
              <w:rPr>
                <w:sz w:val="20"/>
              </w:rPr>
              <w:t xml:space="preserve">:</w:t>
            </w:r>
          </w:p>
        </w:tc>
        <w:tc>
          <w:tcPr>
            <w:tcW w:w="988" w:type="dxa"/>
          </w:tcPr>
          <w:p>
            <w:pPr>
              <w:pStyle w:val="0"/>
              <w:jc w:val="center"/>
            </w:pPr>
            <w:r>
              <w:rPr>
                <w:sz w:val="20"/>
              </w:rPr>
              <w:t xml:space="preserve">100</w:t>
            </w:r>
          </w:p>
        </w:tc>
        <w:tc>
          <w:tcPr>
            <w:tcW w:w="1110" w:type="dxa"/>
          </w:tcPr>
          <w:p>
            <w:pPr>
              <w:pStyle w:val="0"/>
              <w:jc w:val="center"/>
            </w:pPr>
            <w:r>
              <w:rPr>
                <w:sz w:val="20"/>
              </w:rPr>
              <w:t xml:space="preserve">100</w:t>
            </w:r>
          </w:p>
        </w:tc>
      </w:tr>
      <w:tr>
        <w:tc>
          <w:tcPr>
            <w:tcW w:w="6917" w:type="dxa"/>
          </w:tcPr>
          <w:p>
            <w:pPr>
              <w:pStyle w:val="0"/>
            </w:pPr>
            <w:r>
              <w:rPr>
                <w:sz w:val="20"/>
              </w:rPr>
              <w:t xml:space="preserve">сельское, лесное хозяйство, охота, рыболовство и рыбоводство</w:t>
            </w:r>
          </w:p>
        </w:tc>
        <w:tc>
          <w:tcPr>
            <w:tcW w:w="988" w:type="dxa"/>
          </w:tcPr>
          <w:p>
            <w:pPr>
              <w:pStyle w:val="0"/>
              <w:jc w:val="center"/>
            </w:pPr>
            <w:r>
              <w:rPr>
                <w:sz w:val="20"/>
              </w:rPr>
              <w:t xml:space="preserve">5,7</w:t>
            </w:r>
          </w:p>
        </w:tc>
        <w:tc>
          <w:tcPr>
            <w:tcW w:w="1110" w:type="dxa"/>
          </w:tcPr>
          <w:p>
            <w:pPr>
              <w:pStyle w:val="0"/>
              <w:jc w:val="center"/>
            </w:pPr>
            <w:r>
              <w:rPr>
                <w:sz w:val="20"/>
              </w:rPr>
              <w:t xml:space="preserve">5,4</w:t>
            </w:r>
          </w:p>
        </w:tc>
      </w:tr>
      <w:tr>
        <w:tc>
          <w:tcPr>
            <w:tcW w:w="6917" w:type="dxa"/>
          </w:tcPr>
          <w:p>
            <w:pPr>
              <w:pStyle w:val="0"/>
            </w:pPr>
            <w:r>
              <w:rPr>
                <w:sz w:val="20"/>
              </w:rPr>
              <w:t xml:space="preserve">добыча полезных ископаемых</w:t>
            </w:r>
          </w:p>
        </w:tc>
        <w:tc>
          <w:tcPr>
            <w:tcW w:w="988" w:type="dxa"/>
          </w:tcPr>
          <w:p>
            <w:pPr>
              <w:pStyle w:val="0"/>
              <w:jc w:val="center"/>
            </w:pPr>
            <w:r>
              <w:rPr>
                <w:sz w:val="20"/>
              </w:rPr>
              <w:t xml:space="preserve">0,4</w:t>
            </w:r>
          </w:p>
        </w:tc>
        <w:tc>
          <w:tcPr>
            <w:tcW w:w="1110" w:type="dxa"/>
          </w:tcPr>
          <w:p>
            <w:pPr>
              <w:pStyle w:val="0"/>
              <w:jc w:val="center"/>
            </w:pPr>
            <w:r>
              <w:rPr>
                <w:sz w:val="20"/>
              </w:rPr>
              <w:t xml:space="preserve">0,4</w:t>
            </w:r>
          </w:p>
        </w:tc>
      </w:tr>
      <w:tr>
        <w:tc>
          <w:tcPr>
            <w:tcW w:w="6917" w:type="dxa"/>
          </w:tcPr>
          <w:p>
            <w:pPr>
              <w:pStyle w:val="0"/>
            </w:pPr>
            <w:r>
              <w:rPr>
                <w:sz w:val="20"/>
              </w:rPr>
              <w:t xml:space="preserve">обрабатывающие производства</w:t>
            </w:r>
          </w:p>
        </w:tc>
        <w:tc>
          <w:tcPr>
            <w:tcW w:w="988" w:type="dxa"/>
          </w:tcPr>
          <w:p>
            <w:pPr>
              <w:pStyle w:val="0"/>
              <w:jc w:val="center"/>
            </w:pPr>
            <w:r>
              <w:rPr>
                <w:sz w:val="20"/>
              </w:rPr>
              <w:t xml:space="preserve">22,6</w:t>
            </w:r>
          </w:p>
        </w:tc>
        <w:tc>
          <w:tcPr>
            <w:tcW w:w="1110" w:type="dxa"/>
          </w:tcPr>
          <w:p>
            <w:pPr>
              <w:pStyle w:val="0"/>
              <w:jc w:val="center"/>
            </w:pPr>
            <w:r>
              <w:rPr>
                <w:sz w:val="20"/>
              </w:rPr>
              <w:t xml:space="preserve">23,3</w:t>
            </w:r>
          </w:p>
        </w:tc>
      </w:tr>
      <w:tr>
        <w:tc>
          <w:tcPr>
            <w:tcW w:w="6917" w:type="dxa"/>
          </w:tcPr>
          <w:p>
            <w:pPr>
              <w:pStyle w:val="0"/>
            </w:pPr>
            <w:r>
              <w:rPr>
                <w:sz w:val="20"/>
              </w:rPr>
              <w:t xml:space="preserve">обеспечение электрической энергией, газом и паром; кондиционирование воздуха</w:t>
            </w:r>
          </w:p>
        </w:tc>
        <w:tc>
          <w:tcPr>
            <w:tcW w:w="988" w:type="dxa"/>
          </w:tcPr>
          <w:p>
            <w:pPr>
              <w:pStyle w:val="0"/>
              <w:jc w:val="center"/>
            </w:pPr>
            <w:r>
              <w:rPr>
                <w:sz w:val="20"/>
              </w:rPr>
              <w:t xml:space="preserve">2,3</w:t>
            </w:r>
          </w:p>
        </w:tc>
        <w:tc>
          <w:tcPr>
            <w:tcW w:w="1110" w:type="dxa"/>
          </w:tcPr>
          <w:p>
            <w:pPr>
              <w:pStyle w:val="0"/>
              <w:jc w:val="center"/>
            </w:pPr>
            <w:r>
              <w:rPr>
                <w:sz w:val="20"/>
              </w:rPr>
              <w:t xml:space="preserve">2,2</w:t>
            </w:r>
          </w:p>
        </w:tc>
      </w:tr>
      <w:tr>
        <w:tc>
          <w:tcPr>
            <w:tcW w:w="6917" w:type="dxa"/>
          </w:tcPr>
          <w:p>
            <w:pPr>
              <w:pStyle w:val="0"/>
            </w:pPr>
            <w:r>
              <w:rPr>
                <w:sz w:val="20"/>
              </w:rPr>
              <w:t xml:space="preserve">водоснабжение; водоотведение, организация сбора и утилизации отходов, деятельность по ликвидации загрязнений</w:t>
            </w:r>
          </w:p>
        </w:tc>
        <w:tc>
          <w:tcPr>
            <w:tcW w:w="988" w:type="dxa"/>
          </w:tcPr>
          <w:p>
            <w:pPr>
              <w:pStyle w:val="0"/>
              <w:jc w:val="center"/>
            </w:pPr>
            <w:r>
              <w:rPr>
                <w:sz w:val="20"/>
              </w:rPr>
              <w:t xml:space="preserve">1,0</w:t>
            </w:r>
          </w:p>
        </w:tc>
        <w:tc>
          <w:tcPr>
            <w:tcW w:w="1110" w:type="dxa"/>
          </w:tcPr>
          <w:p>
            <w:pPr>
              <w:pStyle w:val="0"/>
              <w:jc w:val="center"/>
            </w:pPr>
            <w:r>
              <w:rPr>
                <w:sz w:val="20"/>
              </w:rPr>
              <w:t xml:space="preserve">1,0</w:t>
            </w:r>
          </w:p>
        </w:tc>
      </w:tr>
      <w:tr>
        <w:tc>
          <w:tcPr>
            <w:tcW w:w="6917" w:type="dxa"/>
          </w:tcPr>
          <w:p>
            <w:pPr>
              <w:pStyle w:val="0"/>
            </w:pPr>
            <w:r>
              <w:rPr>
                <w:sz w:val="20"/>
              </w:rPr>
              <w:t xml:space="preserve">строительство</w:t>
            </w:r>
          </w:p>
        </w:tc>
        <w:tc>
          <w:tcPr>
            <w:tcW w:w="988" w:type="dxa"/>
          </w:tcPr>
          <w:p>
            <w:pPr>
              <w:pStyle w:val="0"/>
              <w:jc w:val="center"/>
            </w:pPr>
            <w:r>
              <w:rPr>
                <w:sz w:val="20"/>
              </w:rPr>
              <w:t xml:space="preserve">8,2</w:t>
            </w:r>
          </w:p>
        </w:tc>
        <w:tc>
          <w:tcPr>
            <w:tcW w:w="1110" w:type="dxa"/>
          </w:tcPr>
          <w:p>
            <w:pPr>
              <w:pStyle w:val="0"/>
              <w:jc w:val="center"/>
            </w:pPr>
            <w:r>
              <w:rPr>
                <w:sz w:val="20"/>
              </w:rPr>
              <w:t xml:space="preserve">8,0</w:t>
            </w:r>
          </w:p>
        </w:tc>
      </w:tr>
      <w:tr>
        <w:tc>
          <w:tcPr>
            <w:tcW w:w="6917" w:type="dxa"/>
          </w:tcPr>
          <w:p>
            <w:pPr>
              <w:pStyle w:val="0"/>
            </w:pPr>
            <w:r>
              <w:rPr>
                <w:sz w:val="20"/>
              </w:rPr>
              <w:t xml:space="preserve">торговля оптовая и розничная; ремонт автотранспортных средств и мотоциклов</w:t>
            </w:r>
          </w:p>
        </w:tc>
        <w:tc>
          <w:tcPr>
            <w:tcW w:w="988" w:type="dxa"/>
          </w:tcPr>
          <w:p>
            <w:pPr>
              <w:pStyle w:val="0"/>
              <w:jc w:val="center"/>
            </w:pPr>
            <w:r>
              <w:rPr>
                <w:sz w:val="20"/>
              </w:rPr>
              <w:t xml:space="preserve">16,7</w:t>
            </w:r>
          </w:p>
        </w:tc>
        <w:tc>
          <w:tcPr>
            <w:tcW w:w="1110" w:type="dxa"/>
          </w:tcPr>
          <w:p>
            <w:pPr>
              <w:pStyle w:val="0"/>
              <w:jc w:val="center"/>
            </w:pPr>
            <w:r>
              <w:rPr>
                <w:sz w:val="20"/>
              </w:rPr>
              <w:t xml:space="preserve">16,4</w:t>
            </w:r>
          </w:p>
        </w:tc>
      </w:tr>
      <w:tr>
        <w:tc>
          <w:tcPr>
            <w:tcW w:w="6917" w:type="dxa"/>
          </w:tcPr>
          <w:p>
            <w:pPr>
              <w:pStyle w:val="0"/>
            </w:pPr>
            <w:r>
              <w:rPr>
                <w:sz w:val="20"/>
              </w:rPr>
              <w:t xml:space="preserve">транспортировка и хранение</w:t>
            </w:r>
          </w:p>
        </w:tc>
        <w:tc>
          <w:tcPr>
            <w:tcW w:w="988" w:type="dxa"/>
          </w:tcPr>
          <w:p>
            <w:pPr>
              <w:pStyle w:val="0"/>
              <w:jc w:val="center"/>
            </w:pPr>
            <w:r>
              <w:rPr>
                <w:sz w:val="20"/>
              </w:rPr>
              <w:t xml:space="preserve">7,6</w:t>
            </w:r>
          </w:p>
        </w:tc>
        <w:tc>
          <w:tcPr>
            <w:tcW w:w="1110" w:type="dxa"/>
          </w:tcPr>
          <w:p>
            <w:pPr>
              <w:pStyle w:val="0"/>
              <w:jc w:val="center"/>
            </w:pPr>
            <w:r>
              <w:rPr>
                <w:sz w:val="20"/>
              </w:rPr>
              <w:t xml:space="preserve">8,2</w:t>
            </w:r>
          </w:p>
        </w:tc>
      </w:tr>
      <w:tr>
        <w:tc>
          <w:tcPr>
            <w:tcW w:w="6917" w:type="dxa"/>
          </w:tcPr>
          <w:p>
            <w:pPr>
              <w:pStyle w:val="0"/>
            </w:pPr>
            <w:r>
              <w:rPr>
                <w:sz w:val="20"/>
              </w:rPr>
              <w:t xml:space="preserve">деятельность гостиниц и предприятий общественного питания</w:t>
            </w:r>
          </w:p>
        </w:tc>
        <w:tc>
          <w:tcPr>
            <w:tcW w:w="988" w:type="dxa"/>
          </w:tcPr>
          <w:p>
            <w:pPr>
              <w:pStyle w:val="0"/>
              <w:jc w:val="center"/>
            </w:pPr>
            <w:r>
              <w:rPr>
                <w:sz w:val="20"/>
              </w:rPr>
              <w:t xml:space="preserve">2,5</w:t>
            </w:r>
          </w:p>
        </w:tc>
        <w:tc>
          <w:tcPr>
            <w:tcW w:w="1110" w:type="dxa"/>
          </w:tcPr>
          <w:p>
            <w:pPr>
              <w:pStyle w:val="0"/>
              <w:jc w:val="center"/>
            </w:pPr>
            <w:r>
              <w:rPr>
                <w:sz w:val="20"/>
              </w:rPr>
              <w:t xml:space="preserve">2,6</w:t>
            </w:r>
          </w:p>
        </w:tc>
      </w:tr>
      <w:tr>
        <w:tc>
          <w:tcPr>
            <w:tcW w:w="6917" w:type="dxa"/>
          </w:tcPr>
          <w:p>
            <w:pPr>
              <w:pStyle w:val="0"/>
            </w:pPr>
            <w:r>
              <w:rPr>
                <w:sz w:val="20"/>
              </w:rPr>
              <w:t xml:space="preserve">деятельность в области информации и связи</w:t>
            </w:r>
          </w:p>
        </w:tc>
        <w:tc>
          <w:tcPr>
            <w:tcW w:w="988" w:type="dxa"/>
          </w:tcPr>
          <w:p>
            <w:pPr>
              <w:pStyle w:val="0"/>
              <w:jc w:val="center"/>
            </w:pPr>
            <w:r>
              <w:rPr>
                <w:sz w:val="20"/>
              </w:rPr>
              <w:t xml:space="preserve">1,8</w:t>
            </w:r>
          </w:p>
        </w:tc>
        <w:tc>
          <w:tcPr>
            <w:tcW w:w="1110" w:type="dxa"/>
          </w:tcPr>
          <w:p>
            <w:pPr>
              <w:pStyle w:val="0"/>
              <w:jc w:val="center"/>
            </w:pPr>
            <w:r>
              <w:rPr>
                <w:sz w:val="20"/>
              </w:rPr>
              <w:t xml:space="preserve">1,7</w:t>
            </w:r>
          </w:p>
        </w:tc>
      </w:tr>
      <w:tr>
        <w:tc>
          <w:tcPr>
            <w:tcW w:w="6917" w:type="dxa"/>
          </w:tcPr>
          <w:p>
            <w:pPr>
              <w:pStyle w:val="0"/>
            </w:pPr>
            <w:r>
              <w:rPr>
                <w:sz w:val="20"/>
              </w:rPr>
              <w:t xml:space="preserve">деятельность финансовая и страховая</w:t>
            </w:r>
          </w:p>
        </w:tc>
        <w:tc>
          <w:tcPr>
            <w:tcW w:w="988" w:type="dxa"/>
          </w:tcPr>
          <w:p>
            <w:pPr>
              <w:pStyle w:val="0"/>
              <w:jc w:val="center"/>
            </w:pPr>
            <w:r>
              <w:rPr>
                <w:sz w:val="20"/>
              </w:rPr>
              <w:t xml:space="preserve">1,3</w:t>
            </w:r>
          </w:p>
        </w:tc>
        <w:tc>
          <w:tcPr>
            <w:tcW w:w="1110" w:type="dxa"/>
          </w:tcPr>
          <w:p>
            <w:pPr>
              <w:pStyle w:val="0"/>
              <w:jc w:val="center"/>
            </w:pPr>
            <w:r>
              <w:rPr>
                <w:sz w:val="20"/>
              </w:rPr>
              <w:t xml:space="preserve">1,3</w:t>
            </w:r>
          </w:p>
        </w:tc>
      </w:tr>
      <w:tr>
        <w:tc>
          <w:tcPr>
            <w:tcW w:w="6917" w:type="dxa"/>
          </w:tcPr>
          <w:p>
            <w:pPr>
              <w:pStyle w:val="0"/>
            </w:pPr>
            <w:r>
              <w:rPr>
                <w:sz w:val="20"/>
              </w:rPr>
              <w:t xml:space="preserve">деятельность по операциям с недвижимым имуществом</w:t>
            </w:r>
          </w:p>
        </w:tc>
        <w:tc>
          <w:tcPr>
            <w:tcW w:w="988" w:type="dxa"/>
          </w:tcPr>
          <w:p>
            <w:pPr>
              <w:pStyle w:val="0"/>
              <w:jc w:val="center"/>
            </w:pPr>
            <w:r>
              <w:rPr>
                <w:sz w:val="20"/>
              </w:rPr>
              <w:t xml:space="preserve">2,8</w:t>
            </w:r>
          </w:p>
        </w:tc>
        <w:tc>
          <w:tcPr>
            <w:tcW w:w="1110" w:type="dxa"/>
          </w:tcPr>
          <w:p>
            <w:pPr>
              <w:pStyle w:val="0"/>
              <w:jc w:val="center"/>
            </w:pPr>
            <w:r>
              <w:rPr>
                <w:sz w:val="20"/>
              </w:rPr>
              <w:t xml:space="preserve">2,7</w:t>
            </w:r>
          </w:p>
        </w:tc>
      </w:tr>
      <w:tr>
        <w:tc>
          <w:tcPr>
            <w:tcW w:w="6917" w:type="dxa"/>
          </w:tcPr>
          <w:p>
            <w:pPr>
              <w:pStyle w:val="0"/>
            </w:pPr>
            <w:r>
              <w:rPr>
                <w:sz w:val="20"/>
              </w:rPr>
              <w:t xml:space="preserve">деятельность профессиональная, научная и техническая</w:t>
            </w:r>
          </w:p>
        </w:tc>
        <w:tc>
          <w:tcPr>
            <w:tcW w:w="988" w:type="dxa"/>
          </w:tcPr>
          <w:p>
            <w:pPr>
              <w:pStyle w:val="0"/>
              <w:jc w:val="center"/>
            </w:pPr>
            <w:r>
              <w:rPr>
                <w:sz w:val="20"/>
              </w:rPr>
              <w:t xml:space="preserve">2,5</w:t>
            </w:r>
          </w:p>
        </w:tc>
        <w:tc>
          <w:tcPr>
            <w:tcW w:w="1110" w:type="dxa"/>
          </w:tcPr>
          <w:p>
            <w:pPr>
              <w:pStyle w:val="0"/>
              <w:jc w:val="center"/>
            </w:pPr>
            <w:r>
              <w:rPr>
                <w:sz w:val="20"/>
              </w:rPr>
              <w:t xml:space="preserve">2,6</w:t>
            </w:r>
          </w:p>
        </w:tc>
      </w:tr>
      <w:tr>
        <w:tc>
          <w:tcPr>
            <w:tcW w:w="6917" w:type="dxa"/>
          </w:tcPr>
          <w:p>
            <w:pPr>
              <w:pStyle w:val="0"/>
            </w:pPr>
            <w:r>
              <w:rPr>
                <w:sz w:val="20"/>
              </w:rPr>
              <w:t xml:space="preserve">деятельность административная и сопутствующие дополнительные услуги</w:t>
            </w:r>
          </w:p>
        </w:tc>
        <w:tc>
          <w:tcPr>
            <w:tcW w:w="988" w:type="dxa"/>
          </w:tcPr>
          <w:p>
            <w:pPr>
              <w:pStyle w:val="0"/>
              <w:jc w:val="center"/>
            </w:pPr>
            <w:r>
              <w:rPr>
                <w:sz w:val="20"/>
              </w:rPr>
              <w:t xml:space="preserve">2,6</w:t>
            </w:r>
          </w:p>
        </w:tc>
        <w:tc>
          <w:tcPr>
            <w:tcW w:w="1110" w:type="dxa"/>
          </w:tcPr>
          <w:p>
            <w:pPr>
              <w:pStyle w:val="0"/>
              <w:jc w:val="center"/>
            </w:pPr>
            <w:r>
              <w:rPr>
                <w:sz w:val="20"/>
              </w:rPr>
              <w:t xml:space="preserve">2,7</w:t>
            </w:r>
          </w:p>
        </w:tc>
      </w:tr>
      <w:tr>
        <w:tc>
          <w:tcPr>
            <w:tcW w:w="6917" w:type="dxa"/>
          </w:tcPr>
          <w:p>
            <w:pPr>
              <w:pStyle w:val="0"/>
            </w:pPr>
            <w:r>
              <w:rPr>
                <w:sz w:val="20"/>
              </w:rPr>
              <w:t xml:space="preserve">государственное управление и обеспечение военной безопасности; социальное обеспечение</w:t>
            </w:r>
          </w:p>
        </w:tc>
        <w:tc>
          <w:tcPr>
            <w:tcW w:w="988" w:type="dxa"/>
          </w:tcPr>
          <w:p>
            <w:pPr>
              <w:pStyle w:val="0"/>
              <w:jc w:val="center"/>
            </w:pPr>
            <w:r>
              <w:rPr>
                <w:sz w:val="20"/>
              </w:rPr>
              <w:t xml:space="preserve">4,2</w:t>
            </w:r>
          </w:p>
        </w:tc>
        <w:tc>
          <w:tcPr>
            <w:tcW w:w="1110" w:type="dxa"/>
          </w:tcPr>
          <w:p>
            <w:pPr>
              <w:pStyle w:val="0"/>
              <w:jc w:val="center"/>
            </w:pPr>
            <w:r>
              <w:rPr>
                <w:sz w:val="20"/>
              </w:rPr>
              <w:t xml:space="preserve">4,1</w:t>
            </w:r>
          </w:p>
        </w:tc>
      </w:tr>
      <w:tr>
        <w:tc>
          <w:tcPr>
            <w:tcW w:w="6917" w:type="dxa"/>
          </w:tcPr>
          <w:p>
            <w:pPr>
              <w:pStyle w:val="0"/>
            </w:pPr>
            <w:r>
              <w:rPr>
                <w:sz w:val="20"/>
              </w:rPr>
              <w:t xml:space="preserve">образование</w:t>
            </w:r>
          </w:p>
        </w:tc>
        <w:tc>
          <w:tcPr>
            <w:tcW w:w="988" w:type="dxa"/>
          </w:tcPr>
          <w:p>
            <w:pPr>
              <w:pStyle w:val="0"/>
              <w:jc w:val="center"/>
            </w:pPr>
            <w:r>
              <w:rPr>
                <w:sz w:val="20"/>
              </w:rPr>
              <w:t xml:space="preserve">7,8</w:t>
            </w:r>
          </w:p>
        </w:tc>
        <w:tc>
          <w:tcPr>
            <w:tcW w:w="1110" w:type="dxa"/>
          </w:tcPr>
          <w:p>
            <w:pPr>
              <w:pStyle w:val="0"/>
              <w:jc w:val="center"/>
            </w:pPr>
            <w:r>
              <w:rPr>
                <w:sz w:val="20"/>
              </w:rPr>
              <w:t xml:space="preserve">7,5</w:t>
            </w:r>
          </w:p>
        </w:tc>
      </w:tr>
      <w:tr>
        <w:tc>
          <w:tcPr>
            <w:tcW w:w="6917" w:type="dxa"/>
          </w:tcPr>
          <w:p>
            <w:pPr>
              <w:pStyle w:val="0"/>
            </w:pPr>
            <w:r>
              <w:rPr>
                <w:sz w:val="20"/>
              </w:rPr>
              <w:t xml:space="preserve">деятельность в области здравоохранения и социальных услуг</w:t>
            </w:r>
          </w:p>
        </w:tc>
        <w:tc>
          <w:tcPr>
            <w:tcW w:w="988" w:type="dxa"/>
          </w:tcPr>
          <w:p>
            <w:pPr>
              <w:pStyle w:val="0"/>
              <w:jc w:val="center"/>
            </w:pPr>
            <w:r>
              <w:rPr>
                <w:sz w:val="20"/>
              </w:rPr>
              <w:t xml:space="preserve">5,8</w:t>
            </w:r>
          </w:p>
        </w:tc>
        <w:tc>
          <w:tcPr>
            <w:tcW w:w="1110" w:type="dxa"/>
          </w:tcPr>
          <w:p>
            <w:pPr>
              <w:pStyle w:val="0"/>
              <w:jc w:val="center"/>
            </w:pPr>
            <w:r>
              <w:rPr>
                <w:sz w:val="20"/>
              </w:rPr>
              <w:t xml:space="preserve">5,5</w:t>
            </w:r>
          </w:p>
        </w:tc>
      </w:tr>
      <w:tr>
        <w:tc>
          <w:tcPr>
            <w:tcW w:w="6917" w:type="dxa"/>
          </w:tcPr>
          <w:p>
            <w:pPr>
              <w:pStyle w:val="0"/>
            </w:pPr>
            <w:r>
              <w:rPr>
                <w:sz w:val="20"/>
              </w:rPr>
              <w:t xml:space="preserve">деятельность в области культуры, спорта, организации досуга и развлечений</w:t>
            </w:r>
          </w:p>
        </w:tc>
        <w:tc>
          <w:tcPr>
            <w:tcW w:w="988" w:type="dxa"/>
          </w:tcPr>
          <w:p>
            <w:pPr>
              <w:pStyle w:val="0"/>
              <w:jc w:val="center"/>
            </w:pPr>
            <w:r>
              <w:rPr>
                <w:sz w:val="20"/>
              </w:rPr>
              <w:t xml:space="preserve">1,4</w:t>
            </w:r>
          </w:p>
        </w:tc>
        <w:tc>
          <w:tcPr>
            <w:tcW w:w="1110" w:type="dxa"/>
          </w:tcPr>
          <w:p>
            <w:pPr>
              <w:pStyle w:val="0"/>
              <w:jc w:val="center"/>
            </w:pPr>
            <w:r>
              <w:rPr>
                <w:sz w:val="20"/>
              </w:rPr>
              <w:t xml:space="preserve">1,5</w:t>
            </w:r>
          </w:p>
        </w:tc>
      </w:tr>
      <w:tr>
        <w:tc>
          <w:tcPr>
            <w:tcW w:w="6917" w:type="dxa"/>
          </w:tcPr>
          <w:p>
            <w:pPr>
              <w:pStyle w:val="0"/>
            </w:pPr>
            <w:r>
              <w:rPr>
                <w:sz w:val="20"/>
              </w:rPr>
              <w:t xml:space="preserve">прочие виды экономической деятельности</w:t>
            </w:r>
          </w:p>
        </w:tc>
        <w:tc>
          <w:tcPr>
            <w:tcW w:w="988" w:type="dxa"/>
          </w:tcPr>
          <w:p>
            <w:pPr>
              <w:pStyle w:val="0"/>
              <w:jc w:val="center"/>
            </w:pPr>
            <w:r>
              <w:rPr>
                <w:sz w:val="20"/>
              </w:rPr>
              <w:t xml:space="preserve">2,9</w:t>
            </w:r>
          </w:p>
        </w:tc>
        <w:tc>
          <w:tcPr>
            <w:tcW w:w="1110" w:type="dxa"/>
          </w:tcPr>
          <w:p>
            <w:pPr>
              <w:pStyle w:val="0"/>
              <w:jc w:val="center"/>
            </w:pPr>
            <w:r>
              <w:rPr>
                <w:sz w:val="20"/>
              </w:rPr>
              <w:t xml:space="preserve">2,4</w:t>
            </w:r>
          </w:p>
        </w:tc>
      </w:tr>
    </w:tbl>
    <w:p>
      <w:pPr>
        <w:pStyle w:val="0"/>
      </w:pPr>
      <w:r>
        <w:rPr>
          <w:sz w:val="20"/>
        </w:rPr>
      </w:r>
    </w:p>
    <w:p>
      <w:pPr>
        <w:pStyle w:val="0"/>
        <w:ind w:firstLine="540"/>
        <w:jc w:val="both"/>
      </w:pPr>
      <w:r>
        <w:rPr>
          <w:sz w:val="20"/>
        </w:rPr>
        <w:t xml:space="preserve">Источник: данные баланса трудовых ресурсов.</w:t>
      </w:r>
    </w:p>
    <w:p>
      <w:pPr>
        <w:pStyle w:val="0"/>
      </w:pPr>
      <w:r>
        <w:rPr>
          <w:sz w:val="20"/>
        </w:rPr>
      </w:r>
    </w:p>
    <w:p>
      <w:pPr>
        <w:pStyle w:val="0"/>
        <w:ind w:firstLine="540"/>
        <w:jc w:val="both"/>
      </w:pPr>
      <w:r>
        <w:rPr>
          <w:sz w:val="20"/>
        </w:rPr>
        <w:t xml:space="preserve">Численность рабочей силы в 2024 году составила 802 тыс. человек и увеличилась по сравнению с предыдущим годом на 0,3%. Рабочая сила отличается высоким уровнем образования - 83,5% людей имеют профессиональное образование, в том числе 30,5% - высшее профессиональное образование. В структуре рабочей силы 55% приходится на наиболее активные на рынке труда возрастные группы (30 - 50 лет), 10,5% рабочей силы - люди старше 60 лет, что заметно выше среднего по Российской Федерации и по ЦФО. Таким образом, процесс старения населения активно проявляется и на рынке труда - в 2024 году средний возраст входящих в рабочую силу людей составил 43,4 года, что на 1 год выше среднего по Российской Федерации, что соответствует 81 месту среди всех регионов Российской Федерации, в том числе предпоследнему (после Тамбовской области) в ЦФО. Среднегодовая численность занятого населения выросла с 778,0 тыс. человек в 2023 году до 785,2 тыс. человек в 2024 году. В то же время, прирост среднегодовой численности занятого населения в 2024 году по сравнению с 2023 годом составил 7,2 тыс. человек, или 0,9%. Для Тульской области, несмотря на более высокий удельный вес населения старше трудоспособного возраста, характерны близкие к средним по стране значения уровня участия в рабочей силе (62,7% в 2024 году) и уровня занятости населения в возрасте 15 лет и старше (61,4%, 35 место среди регионов Российской Федерации).</w:t>
      </w:r>
    </w:p>
    <w:p>
      <w:pPr>
        <w:pStyle w:val="0"/>
        <w:spacing w:before="200" w:lineRule="auto"/>
        <w:ind w:firstLine="540"/>
        <w:jc w:val="both"/>
      </w:pPr>
      <w:r>
        <w:rPr>
          <w:sz w:val="20"/>
        </w:rPr>
        <w:t xml:space="preserve">В 2024 году уровень общей безработицы (безработицы по методологии Международной организации труда - МОТ) составил 2,1% (в 2023 году - 2,73%), численность безработных - 17,0 тыс. человек (в 2023 году - 21,9 тыс. человек), в том числе 9,5 тыс. женщин и 7,5 тыс. мужчин. По уровню общей безработицы Тульская область в 2024 году занимала 30 место среди всех регионов Российской Федерации. При этом для регионального рынка труда характерны более высокая, чем в среднем по стране доля застойной безработицы (14,4%; 45 место), а также более длительный период поиска работы (6,3 месяца; в Российской Федерации - 5,5 месяца, 59 место). Уровень регистрируемой безработицы на 1 января 2025 года составил 0,1%, что на 0,06% пункта ниже уровня аналогичного периода 2024 года, численность зарегистрированных безработных составила 0,8 тыс. человек, что на треть меньше аналогичного периода 2024 года (1,24 тыс. человек). Имеет место очень большой разрыв между показателями официальной и зарегистрированной безработицы (свыше 20 раз в 2024 году), таким образом, в государственную службу занятости обращается лишь небольшая часть всех безработных, хотя имеет место большой охват безработных и ищущих работу граждан мероприятиями государственной программы содействия занятости.</w:t>
      </w:r>
    </w:p>
    <w:p>
      <w:pPr>
        <w:pStyle w:val="0"/>
        <w:spacing w:before="200" w:lineRule="auto"/>
        <w:ind w:firstLine="540"/>
        <w:jc w:val="both"/>
      </w:pPr>
      <w:r>
        <w:rPr>
          <w:sz w:val="20"/>
        </w:rPr>
        <w:t xml:space="preserve">Заявленная работодателями потребность в работниках для трудоустройства граждан постоянно увеличивается и по состоянию на 1 января 2025 года составила 34,4 тыс. вакансий, что выше аналогичного периода 2024 года на 3,5 тыс. вакансий и свидетельствует об остроте проблемы нехватки кадров для экономики Тульской области.</w:t>
      </w:r>
    </w:p>
    <w:p>
      <w:pPr>
        <w:pStyle w:val="0"/>
        <w:spacing w:before="200" w:lineRule="auto"/>
        <w:ind w:firstLine="540"/>
        <w:jc w:val="both"/>
      </w:pPr>
      <w:r>
        <w:rPr>
          <w:sz w:val="20"/>
        </w:rPr>
        <w:t xml:space="preserve">Среднемесячная номинальная начисленная заработная плата работников по полному кругу организаций Тульской области за 2024 год составила 73868,0 рубля, что выше уровня 2023 года на 22,2%. Реальная заработная плата за 2024 год составила 113,0% к 2023 году.</w:t>
      </w:r>
    </w:p>
    <w:p>
      <w:pPr>
        <w:pStyle w:val="0"/>
        <w:spacing w:before="200" w:lineRule="auto"/>
        <w:ind w:firstLine="540"/>
        <w:jc w:val="both"/>
      </w:pPr>
      <w:r>
        <w:rPr>
          <w:sz w:val="20"/>
        </w:rPr>
        <w:t xml:space="preserve">По оценке, в 2024 году рост производительности труда по сравнению с 2023 годом составил 4%, за двухлетний период (2023 - 2024 годы) - 15,4%.</w:t>
      </w:r>
    </w:p>
    <w:p>
      <w:pPr>
        <w:pStyle w:val="0"/>
        <w:spacing w:before="200" w:lineRule="auto"/>
        <w:ind w:firstLine="540"/>
        <w:jc w:val="both"/>
      </w:pPr>
      <w:r>
        <w:rPr>
          <w:sz w:val="20"/>
        </w:rPr>
        <w:t xml:space="preserve">Прогноз потребности отраслей экономики Тульской области в специалистах различных профессионально-квалификационных групп в 2026 - 2032 годы представлена в </w:t>
      </w:r>
      <w:hyperlink w:history="0" w:anchor="P3041" w:tooltip="ПРОГНОЗ">
        <w:r>
          <w:rPr>
            <w:sz w:val="20"/>
            <w:color w:val="0000ff"/>
          </w:rPr>
          <w:t xml:space="preserve">приложении N 3</w:t>
        </w:r>
      </w:hyperlink>
      <w:r>
        <w:rPr>
          <w:sz w:val="20"/>
        </w:rPr>
        <w:t xml:space="preserve">.</w:t>
      </w:r>
    </w:p>
    <w:p>
      <w:pPr>
        <w:pStyle w:val="0"/>
        <w:spacing w:before="200" w:lineRule="auto"/>
        <w:ind w:firstLine="540"/>
        <w:jc w:val="both"/>
      </w:pPr>
      <w:r>
        <w:rPr>
          <w:sz w:val="20"/>
        </w:rPr>
        <w:t xml:space="preserve">Стратегическая цель - создание условий, обеспечивающих полноценный процесс воспроизводства трудовых ресурсов и достойный уровень оплаты труда; возможности для профессиональной реализации каждого жителя региона; создание современных высокопроизводительных рабочих мест и рост производительности труда; смягчение структурных несоответствий спроса на рабочую силу и ее предложения; сокращение нелегальной занятости.</w:t>
      </w:r>
    </w:p>
    <w:p>
      <w:pPr>
        <w:pStyle w:val="0"/>
        <w:spacing w:before="200" w:lineRule="auto"/>
        <w:ind w:firstLine="540"/>
        <w:jc w:val="both"/>
      </w:pPr>
      <w:r>
        <w:rPr>
          <w:sz w:val="20"/>
        </w:rPr>
        <w:t xml:space="preserve">Достижение цели предполагает решение следующих основных задач:</w:t>
      </w:r>
    </w:p>
    <w:p>
      <w:pPr>
        <w:pStyle w:val="0"/>
        <w:spacing w:before="200" w:lineRule="auto"/>
        <w:ind w:firstLine="540"/>
        <w:jc w:val="both"/>
      </w:pPr>
      <w:r>
        <w:rPr>
          <w:sz w:val="20"/>
        </w:rPr>
        <w:t xml:space="preserve">обеспечение устойчивого роста доходов населения не ниже уровня инфляции;</w:t>
      </w:r>
    </w:p>
    <w:p>
      <w:pPr>
        <w:pStyle w:val="0"/>
        <w:spacing w:before="200" w:lineRule="auto"/>
        <w:ind w:firstLine="540"/>
        <w:jc w:val="both"/>
      </w:pPr>
      <w:r>
        <w:rPr>
          <w:sz w:val="20"/>
        </w:rPr>
        <w:t xml:space="preserve">обеспечение в 2024 - 2030 годы реального роста доходов на одного работника субъекта малого и среднего предпринимательства в 1,2 выше, чем рост валового внутреннего продукта;</w:t>
      </w:r>
    </w:p>
    <w:p>
      <w:pPr>
        <w:pStyle w:val="0"/>
        <w:spacing w:before="200" w:lineRule="auto"/>
        <w:ind w:firstLine="540"/>
        <w:jc w:val="both"/>
      </w:pPr>
      <w:r>
        <w:rPr>
          <w:sz w:val="20"/>
        </w:rPr>
        <w:t xml:space="preserve">обеспечение высоких показателей занятости;</w:t>
      </w:r>
    </w:p>
    <w:p>
      <w:pPr>
        <w:pStyle w:val="0"/>
        <w:spacing w:before="200" w:lineRule="auto"/>
        <w:ind w:firstLine="540"/>
        <w:jc w:val="both"/>
      </w:pPr>
      <w:r>
        <w:rPr>
          <w:sz w:val="20"/>
        </w:rPr>
        <w:t xml:space="preserve">достижение к 2030 году уровня занятости населения (15+) не ниже 63%;</w:t>
      </w:r>
    </w:p>
    <w:p>
      <w:pPr>
        <w:pStyle w:val="0"/>
        <w:spacing w:before="200" w:lineRule="auto"/>
        <w:ind w:firstLine="540"/>
        <w:jc w:val="both"/>
      </w:pPr>
      <w:r>
        <w:rPr>
          <w:sz w:val="20"/>
        </w:rPr>
        <w:t xml:space="preserve">сохранение уровня общей безработицы к 2030 году не выше 2%;</w:t>
      </w:r>
    </w:p>
    <w:p>
      <w:pPr>
        <w:pStyle w:val="0"/>
        <w:spacing w:before="200" w:lineRule="auto"/>
        <w:ind w:firstLine="540"/>
        <w:jc w:val="both"/>
      </w:pPr>
      <w:r>
        <w:rPr>
          <w:sz w:val="20"/>
        </w:rPr>
        <w:t xml:space="preserve">сохранение уровня официально регистрируемой безработицы к 2030 году не выше 0,15%;</w:t>
      </w:r>
    </w:p>
    <w:p>
      <w:pPr>
        <w:pStyle w:val="0"/>
        <w:spacing w:before="200" w:lineRule="auto"/>
        <w:ind w:firstLine="540"/>
        <w:jc w:val="both"/>
      </w:pPr>
      <w:r>
        <w:rPr>
          <w:sz w:val="20"/>
        </w:rPr>
        <w:t xml:space="preserve">вовлечение к 2030 году не менее чем 40% средних и крупных предприятий базовых несырьевых отраслей экономики и 100% государственных и муниципальных организаций социальной сферы в проекты, направленные на повышение производительности труда;</w:t>
      </w:r>
    </w:p>
    <w:p>
      <w:pPr>
        <w:pStyle w:val="0"/>
        <w:spacing w:before="200" w:lineRule="auto"/>
        <w:ind w:firstLine="540"/>
        <w:jc w:val="both"/>
      </w:pPr>
      <w:r>
        <w:rPr>
          <w:sz w:val="20"/>
        </w:rPr>
        <w:t xml:space="preserve">разработка прогноза показателей рынка труда и прогноза потребности предприятий в кадрах;</w:t>
      </w:r>
    </w:p>
    <w:p>
      <w:pPr>
        <w:pStyle w:val="0"/>
        <w:spacing w:before="200" w:lineRule="auto"/>
        <w:ind w:firstLine="540"/>
        <w:jc w:val="both"/>
      </w:pPr>
      <w:r>
        <w:rPr>
          <w:sz w:val="20"/>
        </w:rPr>
        <w:t xml:space="preserve">обеспечение деятельности областной трехсторонней комиссии по регулированию социально-трудовых отношений;</w:t>
      </w:r>
    </w:p>
    <w:p>
      <w:pPr>
        <w:pStyle w:val="0"/>
        <w:spacing w:before="200" w:lineRule="auto"/>
        <w:ind w:firstLine="540"/>
        <w:jc w:val="both"/>
      </w:pPr>
      <w:r>
        <w:rPr>
          <w:sz w:val="20"/>
        </w:rPr>
        <w:t xml:space="preserve">создание к 2030 году эффективной системы подготовки, профессиональной переподготовки и повышения квалификации кадров для приоритетных отраслей экономики исходя из прогноза потребности в них;</w:t>
      </w:r>
    </w:p>
    <w:p>
      <w:pPr>
        <w:pStyle w:val="0"/>
        <w:spacing w:before="200" w:lineRule="auto"/>
        <w:ind w:firstLine="540"/>
        <w:jc w:val="both"/>
      </w:pPr>
      <w:r>
        <w:rPr>
          <w:sz w:val="20"/>
        </w:rPr>
        <w:t xml:space="preserve">создание к 2030 году условий для одновременного освоения не менее чем 30% студентов нескольких квалификаций в рамках профессионального образования;</w:t>
      </w:r>
    </w:p>
    <w:p>
      <w:pPr>
        <w:pStyle w:val="0"/>
        <w:spacing w:before="200" w:lineRule="auto"/>
        <w:ind w:firstLine="540"/>
        <w:jc w:val="both"/>
      </w:pPr>
      <w:r>
        <w:rPr>
          <w:sz w:val="20"/>
        </w:rPr>
        <w:t xml:space="preserve">создание к 2030 году институциональных условий для постоянного профессионального развития работающих граждан, в том числе для получения новых профессий и повышения квалификации;</w:t>
      </w:r>
    </w:p>
    <w:p>
      <w:pPr>
        <w:pStyle w:val="0"/>
        <w:spacing w:before="200" w:lineRule="auto"/>
        <w:ind w:firstLine="540"/>
        <w:jc w:val="both"/>
      </w:pPr>
      <w:r>
        <w:rPr>
          <w:sz w:val="20"/>
        </w:rPr>
        <w:t xml:space="preserve">формирование системы подбора, развития и ротации кадров для органов государственной власти и органов местного самоуправления на основе принципов равных возможностей, приоритета профессиональных знаний и квалификаций, включая механизмы регулярной оценки и обратной связи в рамках единой цифровой платформы.</w:t>
      </w:r>
    </w:p>
    <w:p>
      <w:pPr>
        <w:pStyle w:val="0"/>
        <w:spacing w:before="200" w:lineRule="auto"/>
        <w:ind w:firstLine="540"/>
        <w:jc w:val="both"/>
      </w:pPr>
      <w:r>
        <w:rPr>
          <w:sz w:val="20"/>
        </w:rPr>
        <w:t xml:space="preserve">Предполагается осуществление следующих мероприятий:</w:t>
      </w:r>
    </w:p>
    <w:p>
      <w:pPr>
        <w:pStyle w:val="0"/>
        <w:spacing w:before="200" w:lineRule="auto"/>
        <w:ind w:firstLine="540"/>
        <w:jc w:val="both"/>
      </w:pPr>
      <w:r>
        <w:rPr>
          <w:sz w:val="20"/>
        </w:rPr>
        <w:t xml:space="preserve">организация профессионального обучения и дополнительного образования, в том числе работников предприятий ОПК, предусмотренного национальным проектом "Кадры";</w:t>
      </w:r>
    </w:p>
    <w:p>
      <w:pPr>
        <w:pStyle w:val="0"/>
        <w:spacing w:before="200" w:lineRule="auto"/>
        <w:ind w:firstLine="540"/>
        <w:jc w:val="both"/>
      </w:pPr>
      <w:r>
        <w:rPr>
          <w:sz w:val="20"/>
        </w:rPr>
        <w:t xml:space="preserve">предоставление субсидий для создания и оборудования рабочих мест для инвалидов, в том числе для участников СВО;</w:t>
      </w:r>
    </w:p>
    <w:p>
      <w:pPr>
        <w:pStyle w:val="0"/>
        <w:spacing w:before="200" w:lineRule="auto"/>
        <w:ind w:firstLine="540"/>
        <w:jc w:val="both"/>
      </w:pPr>
      <w:r>
        <w:rPr>
          <w:sz w:val="20"/>
        </w:rPr>
        <w:t xml:space="preserve">содействие работодателям в удовлетворении потребности в трудовых ресурсах;</w:t>
      </w:r>
    </w:p>
    <w:p>
      <w:pPr>
        <w:pStyle w:val="0"/>
        <w:spacing w:before="200" w:lineRule="auto"/>
        <w:ind w:firstLine="540"/>
        <w:jc w:val="both"/>
      </w:pPr>
      <w:r>
        <w:rPr>
          <w:sz w:val="20"/>
        </w:rPr>
        <w:t xml:space="preserve">создание условий для вовлечения в занятость отдельных категорий граждан;</w:t>
      </w:r>
    </w:p>
    <w:p>
      <w:pPr>
        <w:pStyle w:val="0"/>
        <w:spacing w:before="200" w:lineRule="auto"/>
        <w:ind w:firstLine="540"/>
        <w:jc w:val="both"/>
      </w:pPr>
      <w:r>
        <w:rPr>
          <w:sz w:val="20"/>
        </w:rPr>
        <w:t xml:space="preserve">разработка и ежегодное обновление прогноза потребности экономики региона в кадрах на среднесрочную перспективу;</w:t>
      </w:r>
    </w:p>
    <w:p>
      <w:pPr>
        <w:pStyle w:val="0"/>
        <w:spacing w:before="200" w:lineRule="auto"/>
        <w:ind w:firstLine="540"/>
        <w:jc w:val="both"/>
      </w:pPr>
      <w:r>
        <w:rPr>
          <w:sz w:val="20"/>
        </w:rPr>
        <w:t xml:space="preserve">организация проведения конкурсов профессионального мастерства;</w:t>
      </w:r>
    </w:p>
    <w:p>
      <w:pPr>
        <w:pStyle w:val="0"/>
        <w:spacing w:before="200" w:lineRule="auto"/>
        <w:ind w:firstLine="540"/>
        <w:jc w:val="both"/>
      </w:pPr>
      <w:r>
        <w:rPr>
          <w:sz w:val="20"/>
        </w:rPr>
        <w:t xml:space="preserve">обучающие мероприятия по повышению предпринимательских компетенций для женщин-предпринимателей;</w:t>
      </w:r>
    </w:p>
    <w:p>
      <w:pPr>
        <w:pStyle w:val="0"/>
        <w:spacing w:before="200" w:lineRule="auto"/>
        <w:ind w:firstLine="540"/>
        <w:jc w:val="both"/>
      </w:pPr>
      <w:r>
        <w:rPr>
          <w:sz w:val="20"/>
        </w:rPr>
        <w:t xml:space="preserve">проведение обучающей программы "Мама - предприниматель".</w:t>
      </w:r>
    </w:p>
    <w:p>
      <w:pPr>
        <w:pStyle w:val="0"/>
      </w:pPr>
      <w:r>
        <w:rPr>
          <w:sz w:val="20"/>
        </w:rPr>
      </w:r>
    </w:p>
    <w:p>
      <w:pPr>
        <w:pStyle w:val="2"/>
        <w:outlineLvl w:val="2"/>
        <w:jc w:val="center"/>
      </w:pPr>
      <w:r>
        <w:rPr>
          <w:sz w:val="20"/>
        </w:rPr>
        <w:t xml:space="preserve">4.18. Повышение доходов, рост благосостояния населения</w:t>
      </w:r>
    </w:p>
    <w:p>
      <w:pPr>
        <w:pStyle w:val="2"/>
        <w:jc w:val="center"/>
      </w:pPr>
      <w:r>
        <w:rPr>
          <w:sz w:val="20"/>
        </w:rPr>
        <w:t xml:space="preserve">и снижение уровня бедности на территории Тульской области</w:t>
      </w:r>
    </w:p>
    <w:p>
      <w:pPr>
        <w:pStyle w:val="0"/>
      </w:pPr>
      <w:r>
        <w:rPr>
          <w:sz w:val="20"/>
        </w:rPr>
      </w:r>
    </w:p>
    <w:p>
      <w:pPr>
        <w:pStyle w:val="0"/>
        <w:ind w:firstLine="540"/>
        <w:jc w:val="both"/>
      </w:pPr>
      <w:r>
        <w:rPr>
          <w:sz w:val="20"/>
        </w:rPr>
        <w:t xml:space="preserve">Тульская область входит в среднюю группу российских регионов по уровню номинальных денежных доходов населения. В 2022 году по уровню среднедушевых денежных доходов населения Тульская область занимала 50 место в Российской Федерации и 13 место в ЦФО (в 2023 году - 45 место в Российской Федерации и 12 место в ЦФО). После 2022 года доходы населения региона росли опережающими темпами, и по итогам 1-го квартала 2025 года достигли 53 201 рублей/человека, что позволило Тульской области переместиться на 6 место в ЦФО.</w:t>
      </w:r>
    </w:p>
    <w:p>
      <w:pPr>
        <w:pStyle w:val="0"/>
        <w:spacing w:before="200" w:lineRule="auto"/>
        <w:ind w:firstLine="540"/>
        <w:jc w:val="both"/>
      </w:pPr>
      <w:r>
        <w:rPr>
          <w:sz w:val="20"/>
        </w:rPr>
        <w:t xml:space="preserve">Уровень бедности населения в Тульской области также постепенно снижается. Если в 2022 году доля населения региона с денежными доходами ниже границы бедности составляла 9,1%, то по итогам 2024 года сократилась до 6,5%.</w:t>
      </w:r>
    </w:p>
    <w:p>
      <w:pPr>
        <w:pStyle w:val="0"/>
        <w:spacing w:before="200" w:lineRule="auto"/>
        <w:ind w:firstLine="540"/>
        <w:jc w:val="both"/>
      </w:pPr>
      <w:r>
        <w:rPr>
          <w:sz w:val="20"/>
        </w:rPr>
        <w:t xml:space="preserve">Реальные располагаемые денежные доходы (доходы за вычетом обязательных платежей с учетом изменения потребительских цен на товары и услуги) в расчете на душу населения Тульской области также растут, начиная с 2021 года. Например, в 2024 году их рост по отношению к 2023 году составил 112,0%.</w:t>
      </w:r>
    </w:p>
    <w:p>
      <w:pPr>
        <w:pStyle w:val="0"/>
        <w:spacing w:before="200" w:lineRule="auto"/>
        <w:ind w:firstLine="540"/>
        <w:jc w:val="both"/>
      </w:pPr>
      <w:r>
        <w:rPr>
          <w:sz w:val="20"/>
        </w:rPr>
        <w:t xml:space="preserve">Основной фактор, позволяющий улучшать ситуацию с доходами населения Тульской области, - быстрый рост начисленной заработной платы работающих граждан. В 2024 году номинальная начисленная среднемесячная заработная плата работников организаций Тульской области увеличилась на 22,2% по сравнению с 2023 года и составила 73 868 рублей.</w:t>
      </w:r>
    </w:p>
    <w:p>
      <w:pPr>
        <w:pStyle w:val="0"/>
        <w:spacing w:before="200" w:lineRule="auto"/>
        <w:ind w:firstLine="540"/>
        <w:jc w:val="both"/>
      </w:pPr>
      <w:r>
        <w:rPr>
          <w:sz w:val="20"/>
        </w:rPr>
        <w:t xml:space="preserve">В структуре доходов населения региона в 2024 году на оплату труда приходилось 66,9%. Второй значимый источник - социальные трансферты - составили 21,3% от всех доходов. Доходы от предпринимательской деятельности 4,8%, доходы от собственности - 4,1% от всех доходов населения.</w:t>
      </w:r>
    </w:p>
    <w:p>
      <w:pPr>
        <w:pStyle w:val="0"/>
        <w:spacing w:before="200" w:lineRule="auto"/>
        <w:ind w:firstLine="540"/>
        <w:jc w:val="both"/>
      </w:pPr>
      <w:r>
        <w:rPr>
          <w:sz w:val="20"/>
        </w:rPr>
        <w:t xml:space="preserve">Средний размер назначенной пенсии для пенсионеров Тульской области в 1-ом квартале 2025 года составил 23153,7 рублей, или 111,9% по отношению к уровню 2024 года. При этом в реальном измерении, с учетом роста цен, прирост покупательной способности пенсий за прошедший год составил всего 1%. Как следствие, несмотря на индексацию пенсий, их покупательная способность в Тульской области невысока.</w:t>
      </w:r>
    </w:p>
    <w:p>
      <w:pPr>
        <w:pStyle w:val="0"/>
        <w:spacing w:before="200" w:lineRule="auto"/>
        <w:ind w:firstLine="540"/>
        <w:jc w:val="both"/>
      </w:pPr>
      <w:r>
        <w:rPr>
          <w:sz w:val="20"/>
        </w:rPr>
        <w:t xml:space="preserve">Стратегическая цель в сфере повышения доходов - рост благосостояния населения и снижение уровня бедности. Политика Тульской области в сфере уровня жизни будет направлена на быстрое и устойчивое повышение доходов населения, что позволит повысить трудовые мотивации граждан, улучшить конкурентные позиции региона в стране и увеличить его привлекательность как места постоянного проживания и работы.</w:t>
      </w:r>
    </w:p>
    <w:p>
      <w:pPr>
        <w:pStyle w:val="0"/>
        <w:spacing w:before="200" w:lineRule="auto"/>
        <w:ind w:firstLine="540"/>
        <w:jc w:val="both"/>
      </w:pPr>
      <w:r>
        <w:rPr>
          <w:sz w:val="20"/>
        </w:rPr>
        <w:t xml:space="preserve">Достижение этой цели требует решения следующих основных задач:</w:t>
      </w:r>
    </w:p>
    <w:p>
      <w:pPr>
        <w:pStyle w:val="0"/>
        <w:spacing w:before="200" w:lineRule="auto"/>
        <w:ind w:firstLine="540"/>
        <w:jc w:val="both"/>
      </w:pPr>
      <w:r>
        <w:rPr>
          <w:sz w:val="20"/>
        </w:rPr>
        <w:t xml:space="preserve">постоянное повышение трудовых доходов работников бюджетной сферы за счет роста налоговых и других поступлений в бюджет области;</w:t>
      </w:r>
    </w:p>
    <w:p>
      <w:pPr>
        <w:pStyle w:val="0"/>
        <w:spacing w:before="200" w:lineRule="auto"/>
        <w:ind w:firstLine="540"/>
        <w:jc w:val="both"/>
      </w:pPr>
      <w:r>
        <w:rPr>
          <w:sz w:val="20"/>
        </w:rPr>
        <w:t xml:space="preserve">стимулирование граждан на увеличение доли долгосрочных сбережений граждан в общей структуре их накоплений в обозначенные стратегические периоды;</w:t>
      </w:r>
    </w:p>
    <w:p>
      <w:pPr>
        <w:pStyle w:val="0"/>
        <w:spacing w:before="200" w:lineRule="auto"/>
        <w:ind w:firstLine="540"/>
        <w:jc w:val="both"/>
      </w:pPr>
      <w:r>
        <w:rPr>
          <w:sz w:val="20"/>
        </w:rPr>
        <w:t xml:space="preserve">постоянное повышение трудовых доходов работников негосударственного сектора за счет создания благоприятных условий (институциональных, инфраструктурных и т.д.) для ведения бизнеса и реализации новых инвестиционных проектов в Тульской области, а также поддержки малого и среднего предпринимательства;</w:t>
      </w:r>
    </w:p>
    <w:p>
      <w:pPr>
        <w:pStyle w:val="0"/>
        <w:spacing w:before="200" w:lineRule="auto"/>
        <w:ind w:firstLine="540"/>
        <w:jc w:val="both"/>
      </w:pPr>
      <w:r>
        <w:rPr>
          <w:sz w:val="20"/>
        </w:rPr>
        <w:t xml:space="preserve">увеличение затрат на социальную поддержку (льгот и субсидий для многодетных семей, пенсионеров, участников СВО);</w:t>
      </w:r>
    </w:p>
    <w:p>
      <w:pPr>
        <w:pStyle w:val="0"/>
        <w:spacing w:before="200" w:lineRule="auto"/>
        <w:ind w:firstLine="540"/>
        <w:jc w:val="both"/>
      </w:pPr>
      <w:r>
        <w:rPr>
          <w:sz w:val="20"/>
        </w:rPr>
        <w:t xml:space="preserve">повышение качества социальной помощи.</w:t>
      </w:r>
    </w:p>
    <w:p>
      <w:pPr>
        <w:pStyle w:val="0"/>
        <w:spacing w:before="200" w:lineRule="auto"/>
        <w:ind w:firstLine="540"/>
        <w:jc w:val="both"/>
      </w:pPr>
      <w:r>
        <w:rPr>
          <w:sz w:val="20"/>
        </w:rPr>
        <w:t xml:space="preserve">Для достижения поставленных задач планируется реализовать ряд мероприятий:</w:t>
      </w:r>
    </w:p>
    <w:p>
      <w:pPr>
        <w:pStyle w:val="0"/>
        <w:spacing w:before="200" w:lineRule="auto"/>
        <w:ind w:firstLine="540"/>
        <w:jc w:val="both"/>
      </w:pPr>
      <w:r>
        <w:rPr>
          <w:sz w:val="20"/>
        </w:rPr>
        <w:t xml:space="preserve">индексация заработной платы работников бюджетной сферы;</w:t>
      </w:r>
    </w:p>
    <w:p>
      <w:pPr>
        <w:pStyle w:val="0"/>
        <w:spacing w:before="200" w:lineRule="auto"/>
        <w:ind w:firstLine="540"/>
        <w:jc w:val="both"/>
      </w:pPr>
      <w:r>
        <w:rPr>
          <w:sz w:val="20"/>
        </w:rPr>
        <w:t xml:space="preserve">заключение регионального соглашения о минимальной заработной плате в Тульской области между Правительством Тульской области, Тульским областным союзом организаций профсоюзов "Тульская Федерация профсоюзов" и Региональным объединением работодателей "Тульский Союз промышленников и предпринимателей";</w:t>
      </w:r>
    </w:p>
    <w:p>
      <w:pPr>
        <w:pStyle w:val="0"/>
        <w:spacing w:before="200" w:lineRule="auto"/>
        <w:ind w:firstLine="540"/>
        <w:jc w:val="both"/>
      </w:pPr>
      <w:r>
        <w:rPr>
          <w:sz w:val="20"/>
        </w:rPr>
        <w:t xml:space="preserve">проведение мероприятий по недопущению роста уровня безработицы и содействию занятости граждан;</w:t>
      </w:r>
    </w:p>
    <w:p>
      <w:pPr>
        <w:pStyle w:val="0"/>
        <w:spacing w:before="200" w:lineRule="auto"/>
        <w:ind w:firstLine="540"/>
        <w:jc w:val="both"/>
      </w:pPr>
      <w:r>
        <w:rPr>
          <w:sz w:val="20"/>
        </w:rPr>
        <w:t xml:space="preserve">выявление и легализация трудовых отношений нелегально занятых граждан, проведение индивидуального учета закрепляемости на рабочих местах работников, с которыми, в ходе реализации мер по снижению нелегальной занятости, оформлены трудовые отношения;</w:t>
      </w:r>
    </w:p>
    <w:p>
      <w:pPr>
        <w:pStyle w:val="0"/>
        <w:spacing w:before="200" w:lineRule="auto"/>
        <w:ind w:firstLine="540"/>
        <w:jc w:val="both"/>
      </w:pPr>
      <w:r>
        <w:rPr>
          <w:sz w:val="20"/>
        </w:rPr>
        <w:t xml:space="preserve">адресная поддержка малого и среднего предпринимательства, в том числе, семейного и женского предпринимательства;</w:t>
      </w:r>
    </w:p>
    <w:p>
      <w:pPr>
        <w:pStyle w:val="0"/>
        <w:spacing w:before="200" w:lineRule="auto"/>
        <w:ind w:firstLine="540"/>
        <w:jc w:val="both"/>
      </w:pPr>
      <w:r>
        <w:rPr>
          <w:sz w:val="20"/>
        </w:rPr>
        <w:t xml:space="preserve">поддержка участников СВО, реализующих предпринимательские инициативы;</w:t>
      </w:r>
    </w:p>
    <w:p>
      <w:pPr>
        <w:pStyle w:val="0"/>
        <w:spacing w:before="200" w:lineRule="auto"/>
        <w:ind w:firstLine="540"/>
        <w:jc w:val="both"/>
      </w:pPr>
      <w:r>
        <w:rPr>
          <w:sz w:val="20"/>
        </w:rPr>
        <w:t xml:space="preserve">реализация государственных </w:t>
      </w:r>
      <w:hyperlink w:history="0" r:id="rId33" w:tooltip="Постановление правительства Тульской области от 01.02.2018 N 43 (ред. от 21.04.2025) &quot;Об утверждении государственной программы Тульской области &quot;Содействие занятости населения Тульской области&quot; (вместе с &quot;Составом управляющего совета государственной программы по должностям&quot;) {КонсультантПлюс}">
        <w:r>
          <w:rPr>
            <w:sz w:val="20"/>
            <w:color w:val="0000ff"/>
          </w:rPr>
          <w:t xml:space="preserve">программ</w:t>
        </w:r>
      </w:hyperlink>
      <w:r>
        <w:rPr>
          <w:sz w:val="20"/>
        </w:rPr>
        <w:t xml:space="preserve"> "Содействие занятости населения Тульской области", "Развитие малого и среднего предпринимательства в Тульской области";</w:t>
      </w:r>
    </w:p>
    <w:p>
      <w:pPr>
        <w:pStyle w:val="0"/>
        <w:spacing w:before="200" w:lineRule="auto"/>
        <w:ind w:firstLine="540"/>
        <w:jc w:val="both"/>
      </w:pPr>
      <w:r>
        <w:rPr>
          <w:sz w:val="20"/>
        </w:rPr>
        <w:t xml:space="preserve">анализ структуры малоимущих многодетных семей;</w:t>
      </w:r>
    </w:p>
    <w:p>
      <w:pPr>
        <w:pStyle w:val="0"/>
        <w:spacing w:before="200" w:lineRule="auto"/>
        <w:ind w:firstLine="540"/>
        <w:jc w:val="both"/>
      </w:pPr>
      <w:r>
        <w:rPr>
          <w:sz w:val="20"/>
        </w:rPr>
        <w:t xml:space="preserve">совершенствование нормативной правовой базы социальной поддержки населения;</w:t>
      </w:r>
    </w:p>
    <w:p>
      <w:pPr>
        <w:pStyle w:val="0"/>
        <w:spacing w:before="200" w:lineRule="auto"/>
        <w:ind w:firstLine="540"/>
        <w:jc w:val="both"/>
      </w:pPr>
      <w:r>
        <w:rPr>
          <w:sz w:val="20"/>
        </w:rPr>
        <w:t xml:space="preserve">предоставление субсидий малоимущим гражданам на оплату жилых помещений и коммунальных услуг;</w:t>
      </w:r>
    </w:p>
    <w:p>
      <w:pPr>
        <w:pStyle w:val="0"/>
        <w:spacing w:before="200" w:lineRule="auto"/>
        <w:ind w:firstLine="540"/>
        <w:jc w:val="both"/>
      </w:pPr>
      <w:r>
        <w:rPr>
          <w:sz w:val="20"/>
        </w:rPr>
        <w:t xml:space="preserve">предоставление ежемесячной денежной выплаты на содержание и воспитание несовершеннолетнего ребенка в многодетной семье;</w:t>
      </w:r>
    </w:p>
    <w:p>
      <w:pPr>
        <w:pStyle w:val="0"/>
        <w:spacing w:before="200" w:lineRule="auto"/>
        <w:ind w:firstLine="540"/>
        <w:jc w:val="both"/>
      </w:pPr>
      <w:r>
        <w:rPr>
          <w:sz w:val="20"/>
        </w:rPr>
        <w:t xml:space="preserve">государственная социальная помощь гражданам на основании социального контракта;</w:t>
      </w:r>
    </w:p>
    <w:p>
      <w:pPr>
        <w:pStyle w:val="0"/>
        <w:spacing w:before="200" w:lineRule="auto"/>
        <w:ind w:firstLine="540"/>
        <w:jc w:val="both"/>
      </w:pPr>
      <w:r>
        <w:rPr>
          <w:sz w:val="20"/>
        </w:rPr>
        <w:t xml:space="preserve">создание единой онлайн-площадки для обработки обращений населения в региональные и муниципальные органы управления;</w:t>
      </w:r>
    </w:p>
    <w:p>
      <w:pPr>
        <w:pStyle w:val="0"/>
        <w:spacing w:before="200" w:lineRule="auto"/>
        <w:ind w:firstLine="540"/>
        <w:jc w:val="both"/>
      </w:pPr>
      <w:r>
        <w:rPr>
          <w:sz w:val="20"/>
        </w:rPr>
        <w:t xml:space="preserve">создание единой онлайн-площадки для обработки обращений представителей бизнеса в региональные и муниципальные органы управления, к представителям Федеральной налоговой службы;</w:t>
      </w:r>
    </w:p>
    <w:p>
      <w:pPr>
        <w:pStyle w:val="0"/>
        <w:spacing w:before="200" w:lineRule="auto"/>
        <w:ind w:firstLine="540"/>
        <w:jc w:val="both"/>
      </w:pPr>
      <w:r>
        <w:rPr>
          <w:sz w:val="20"/>
        </w:rPr>
        <w:t xml:space="preserve">организация мониторинга внутрисемейной поддержки пожилого населения (степень распространения, формы, направления внутрисемейных межпоколенных трансфертов);</w:t>
      </w:r>
    </w:p>
    <w:p>
      <w:pPr>
        <w:pStyle w:val="0"/>
        <w:spacing w:before="200" w:lineRule="auto"/>
        <w:ind w:firstLine="540"/>
        <w:jc w:val="both"/>
      </w:pPr>
      <w:r>
        <w:rPr>
          <w:sz w:val="20"/>
        </w:rPr>
        <w:t xml:space="preserve">разработка стимулов для младших членов семей по оказанию различных видов поддержки старших членов семьи.</w:t>
      </w:r>
    </w:p>
    <w:p>
      <w:pPr>
        <w:pStyle w:val="0"/>
        <w:spacing w:before="200" w:lineRule="auto"/>
        <w:ind w:firstLine="540"/>
        <w:jc w:val="both"/>
      </w:pPr>
      <w:r>
        <w:rPr>
          <w:sz w:val="20"/>
        </w:rPr>
        <w:t xml:space="preserve">Помимо перечисленных выше мероприятий планируется завершить ряд проектов цифрового развития, реализация которых позволит существенно повысить результативность традиционных мер по повышению доходов населения. В рамках инициативы "Социальное казначейство" предполагается реализация следующих мероприятий:</w:t>
      </w:r>
    </w:p>
    <w:p>
      <w:pPr>
        <w:pStyle w:val="0"/>
        <w:spacing w:before="200" w:lineRule="auto"/>
        <w:ind w:firstLine="540"/>
        <w:jc w:val="both"/>
      </w:pPr>
      <w:r>
        <w:rPr>
          <w:sz w:val="20"/>
        </w:rPr>
        <w:t xml:space="preserve">внедрение автоматизированной системы "Адресная социальная помощь" для получения сведений об индивидуальных программах реабилитации и контроль исполнения рекомендаций;</w:t>
      </w:r>
    </w:p>
    <w:p>
      <w:pPr>
        <w:pStyle w:val="0"/>
        <w:spacing w:before="200" w:lineRule="auto"/>
        <w:ind w:firstLine="540"/>
        <w:jc w:val="both"/>
      </w:pPr>
      <w:r>
        <w:rPr>
          <w:sz w:val="20"/>
        </w:rPr>
        <w:t xml:space="preserve">приобретение лицензии автоматизированной системы "Адресная социальная помощь" для интеграции с государственной информационной системой "Электронные сертификаты", что обеспечит взаимодействие с системой предоставления мер поддержки;</w:t>
      </w:r>
    </w:p>
    <w:p>
      <w:pPr>
        <w:pStyle w:val="0"/>
        <w:spacing w:before="200" w:lineRule="auto"/>
        <w:ind w:firstLine="540"/>
        <w:jc w:val="both"/>
      </w:pPr>
      <w:r>
        <w:rPr>
          <w:sz w:val="20"/>
        </w:rPr>
        <w:t xml:space="preserve">подключение автоматизированной системы "Адресная социальная помощь" к системе межведомственного электронного взаимодействия версии 4 (витринам сведений) с целью предоставления государственных услуг в цифровом формате;</w:t>
      </w:r>
    </w:p>
    <w:p>
      <w:pPr>
        <w:pStyle w:val="0"/>
        <w:spacing w:before="200" w:lineRule="auto"/>
        <w:ind w:firstLine="540"/>
        <w:jc w:val="both"/>
      </w:pPr>
      <w:r>
        <w:rPr>
          <w:sz w:val="20"/>
        </w:rPr>
        <w:t xml:space="preserve">организация обмена данными с региональной информационной системой здравоохранения Тульской области по ранней помощи гражданам с целью автоматизации процессов учета и поддержки нуждающихся.</w:t>
      </w:r>
    </w:p>
    <w:p>
      <w:pPr>
        <w:pStyle w:val="0"/>
      </w:pPr>
      <w:r>
        <w:rPr>
          <w:sz w:val="20"/>
        </w:rPr>
      </w:r>
    </w:p>
    <w:p>
      <w:pPr>
        <w:pStyle w:val="2"/>
        <w:outlineLvl w:val="2"/>
        <w:jc w:val="center"/>
      </w:pPr>
      <w:r>
        <w:rPr>
          <w:sz w:val="20"/>
        </w:rPr>
        <w:t xml:space="preserve">4.19. Повышение качества государственных и муниципальных</w:t>
      </w:r>
    </w:p>
    <w:p>
      <w:pPr>
        <w:pStyle w:val="2"/>
        <w:jc w:val="center"/>
      </w:pPr>
      <w:r>
        <w:rPr>
          <w:sz w:val="20"/>
        </w:rPr>
        <w:t xml:space="preserve">услуг, оказываемых жителям Тульской области</w:t>
      </w:r>
    </w:p>
    <w:p>
      <w:pPr>
        <w:pStyle w:val="2"/>
        <w:jc w:val="center"/>
      </w:pPr>
      <w:r>
        <w:rPr>
          <w:sz w:val="20"/>
        </w:rPr>
        <w:t xml:space="preserve">и удовлетворенности от взаимодействия с органами власти</w:t>
      </w:r>
    </w:p>
    <w:p>
      <w:pPr>
        <w:pStyle w:val="2"/>
        <w:jc w:val="center"/>
      </w:pPr>
      <w:r>
        <w:rPr>
          <w:sz w:val="20"/>
        </w:rPr>
        <w:t xml:space="preserve">и государственными учреждениями</w:t>
      </w:r>
    </w:p>
    <w:p>
      <w:pPr>
        <w:pStyle w:val="0"/>
      </w:pPr>
      <w:r>
        <w:rPr>
          <w:sz w:val="20"/>
        </w:rPr>
      </w:r>
    </w:p>
    <w:p>
      <w:pPr>
        <w:pStyle w:val="0"/>
        <w:ind w:firstLine="540"/>
        <w:jc w:val="both"/>
      </w:pPr>
      <w:r>
        <w:rPr>
          <w:sz w:val="20"/>
        </w:rPr>
        <w:t xml:space="preserve">Сегодня система оказания государственных и муниципальных услуг в Тульской области демонстрирует значительные достижения в сфере цифровизации и занимает лидирующие позиции на федеральном уровне. Регион входит в число лидеров по качеству предоставления государственных услуг. Создана развитая инфраструктура, представленная сетью многофункциональных центров (далее - МФЦ). В 2025 году тульские МФЦ оказали более 2 млн. услуг. Уровень удовлетворенности граждан качеством предоставления государственных и муниципальных услуг в МФЦ Тульской области составляет 99%.</w:t>
      </w:r>
    </w:p>
    <w:p>
      <w:pPr>
        <w:pStyle w:val="0"/>
        <w:spacing w:before="200" w:lineRule="auto"/>
        <w:ind w:firstLine="540"/>
        <w:jc w:val="both"/>
      </w:pPr>
      <w:r>
        <w:rPr>
          <w:sz w:val="20"/>
        </w:rPr>
        <w:t xml:space="preserve">Сетью МФЦ и Региональным порталом государственных и муниципальных услуг (функций) Тульской области совокупно пользуются сотни тысяч жителей Тульской области ежедневно.</w:t>
      </w:r>
    </w:p>
    <w:p>
      <w:pPr>
        <w:pStyle w:val="0"/>
        <w:spacing w:before="200" w:lineRule="auto"/>
        <w:ind w:firstLine="540"/>
        <w:jc w:val="both"/>
      </w:pPr>
      <w:r>
        <w:rPr>
          <w:sz w:val="20"/>
        </w:rPr>
        <w:t xml:space="preserve">Все массовые социально значимые государственные и муниципальные услуги переведены в электронную форму и доступны гражданам на Едином портале государственных и муниципальных услуг (функций) в круглосуточном режиме. Доля обращений граждан без личного посещения органов государственной власти и органов местного самоуправления достигла 98,02%.</w:t>
      </w:r>
    </w:p>
    <w:p>
      <w:pPr>
        <w:pStyle w:val="0"/>
        <w:spacing w:before="200" w:lineRule="auto"/>
        <w:ind w:firstLine="540"/>
        <w:jc w:val="both"/>
      </w:pPr>
      <w:r>
        <w:rPr>
          <w:sz w:val="20"/>
        </w:rPr>
        <w:t xml:space="preserve">В 2025 году 70,35% обращений граждан получили оценку выше 4,5 баллов из 5 за качество работы государственных служащих и работников организаций социальной сферы по оказанию услуг в электронном виде с использованием порталов.</w:t>
      </w:r>
    </w:p>
    <w:p>
      <w:pPr>
        <w:pStyle w:val="0"/>
        <w:spacing w:before="200" w:lineRule="auto"/>
        <w:ind w:firstLine="540"/>
        <w:jc w:val="both"/>
      </w:pPr>
      <w:r>
        <w:rPr>
          <w:sz w:val="20"/>
        </w:rPr>
        <w:t xml:space="preserve">Согласно официальной статистике 91,9% граждан пользуются услугами в электронной форме.</w:t>
      </w:r>
    </w:p>
    <w:p>
      <w:pPr>
        <w:pStyle w:val="0"/>
        <w:spacing w:before="200" w:lineRule="auto"/>
        <w:ind w:firstLine="540"/>
        <w:jc w:val="both"/>
      </w:pPr>
      <w:r>
        <w:rPr>
          <w:sz w:val="20"/>
        </w:rPr>
        <w:t xml:space="preserve">Вместе с тем остаются направления для дальнейшего совершенствования: требуется проводить реинжиниринг наиболее популярных государственных муниципальных услуг, сокращая время их оказания и переводя в проактивный режим, а также повышать уровень информированности граждан о возможности получения услуг в электронном виде.</w:t>
      </w:r>
    </w:p>
    <w:p>
      <w:pPr>
        <w:pStyle w:val="0"/>
        <w:spacing w:before="200" w:lineRule="auto"/>
        <w:ind w:firstLine="540"/>
        <w:jc w:val="both"/>
      </w:pPr>
      <w:r>
        <w:rPr>
          <w:sz w:val="20"/>
        </w:rPr>
        <w:t xml:space="preserve">Проводится постоянная работа по повышению качества предоставления государственных и муниципальных услуг, что неизбежно повлияет на улучшение уровня жизни граждан. Такой подход позволит превратить систему оказания государственных и муниципальных услуг в образец удобства и простоты, выгодно отличающий Тульскую область среди других регионов России.</w:t>
      </w:r>
    </w:p>
    <w:p>
      <w:pPr>
        <w:pStyle w:val="0"/>
        <w:spacing w:before="200" w:lineRule="auto"/>
        <w:ind w:firstLine="540"/>
        <w:jc w:val="both"/>
      </w:pPr>
      <w:r>
        <w:rPr>
          <w:sz w:val="20"/>
        </w:rPr>
        <w:t xml:space="preserve">Стратегической целью является закрепление за Тульской областью статуса лидера цифровой зрелости, где цифровые технологии органично интегрированы в государственное управление, ключевые отрасли экономики и социальной сферы.</w:t>
      </w:r>
    </w:p>
    <w:p>
      <w:pPr>
        <w:pStyle w:val="0"/>
        <w:spacing w:before="200" w:lineRule="auto"/>
        <w:ind w:firstLine="540"/>
        <w:jc w:val="both"/>
      </w:pPr>
      <w:r>
        <w:rPr>
          <w:sz w:val="20"/>
        </w:rPr>
        <w:t xml:space="preserve">Достижению поставленной цели будет способствовать решение следующих основных задач:</w:t>
      </w:r>
    </w:p>
    <w:p>
      <w:pPr>
        <w:pStyle w:val="0"/>
        <w:spacing w:before="200" w:lineRule="auto"/>
        <w:ind w:firstLine="540"/>
        <w:jc w:val="both"/>
      </w:pPr>
      <w:r>
        <w:rPr>
          <w:sz w:val="20"/>
        </w:rPr>
        <w:t xml:space="preserve">обеспечение массового внедрения цифровых сервисов взаимодействия с гражданами на базе созданных цифровых платформ в отраслях экономики и социальной сферы для исключения административных барьеров и повышения удовлетворенности качеством предоставления государственных и муниципальных услуг в электронном виде;</w:t>
      </w:r>
    </w:p>
    <w:p>
      <w:pPr>
        <w:pStyle w:val="0"/>
        <w:spacing w:before="200" w:lineRule="auto"/>
        <w:ind w:firstLine="540"/>
        <w:jc w:val="both"/>
      </w:pPr>
      <w:r>
        <w:rPr>
          <w:sz w:val="20"/>
        </w:rPr>
        <w:t xml:space="preserve">развитие инфраструктуры предоставления государственных и муниципальных услуг и сервисов в цифровом виде, в том числе в проактивном режиме или при непосредственном обращении заявителя, а также внедрение для государственных органов типовых решений с системами поддержки принятия решений на основе данных на базе единой цифровой платформы;</w:t>
      </w:r>
    </w:p>
    <w:p>
      <w:pPr>
        <w:pStyle w:val="0"/>
        <w:spacing w:before="200" w:lineRule="auto"/>
        <w:ind w:firstLine="540"/>
        <w:jc w:val="both"/>
      </w:pPr>
      <w:r>
        <w:rPr>
          <w:sz w:val="20"/>
        </w:rPr>
        <w:t xml:space="preserve">реализация проектов, направленных на становление информационного общества в Тульской области;</w:t>
      </w:r>
    </w:p>
    <w:p>
      <w:pPr>
        <w:pStyle w:val="0"/>
        <w:spacing w:before="200" w:lineRule="auto"/>
        <w:ind w:firstLine="540"/>
        <w:jc w:val="both"/>
      </w:pPr>
      <w:r>
        <w:rPr>
          <w:sz w:val="20"/>
        </w:rPr>
        <w:t xml:space="preserve">обеспечение достаточного количества МЦФ, необходимых для поддержания показателя "доля граждан, имеющих доступ к получению государственных и муниципальных услуг по принципу "одного окна" по месту пребывания, в том числе в МФЦ" на уровне не менее 90%, а также обеспечение качества обслуживания в МФЦ на уровне 95%;</w:t>
      </w:r>
    </w:p>
    <w:p>
      <w:pPr>
        <w:pStyle w:val="0"/>
        <w:spacing w:before="200" w:lineRule="auto"/>
        <w:ind w:firstLine="540"/>
        <w:jc w:val="both"/>
      </w:pPr>
      <w:r>
        <w:rPr>
          <w:sz w:val="20"/>
        </w:rPr>
        <w:t xml:space="preserve">обеспечение доступности информации, содержащейся в информационных системах в сфере государственного управления.</w:t>
      </w:r>
    </w:p>
    <w:p>
      <w:pPr>
        <w:pStyle w:val="0"/>
        <w:spacing w:before="200" w:lineRule="auto"/>
        <w:ind w:firstLine="540"/>
        <w:jc w:val="both"/>
      </w:pPr>
      <w:r>
        <w:rPr>
          <w:sz w:val="20"/>
        </w:rPr>
        <w:t xml:space="preserve">Выполнение указанных задач предполагает проведение следующих мероприятий:</w:t>
      </w:r>
    </w:p>
    <w:p>
      <w:pPr>
        <w:pStyle w:val="0"/>
        <w:spacing w:before="200" w:lineRule="auto"/>
        <w:ind w:firstLine="540"/>
        <w:jc w:val="both"/>
      </w:pPr>
      <w:r>
        <w:rPr>
          <w:sz w:val="20"/>
        </w:rPr>
        <w:t xml:space="preserve">повышение уровня удовлетворенности граждан качеством работы государственных и муниципальных служащих и работников организаций социальной сферы;</w:t>
      </w:r>
    </w:p>
    <w:p>
      <w:pPr>
        <w:pStyle w:val="0"/>
        <w:spacing w:before="200" w:lineRule="auto"/>
        <w:ind w:firstLine="540"/>
        <w:jc w:val="both"/>
      </w:pPr>
      <w:r>
        <w:rPr>
          <w:sz w:val="20"/>
        </w:rPr>
        <w:t xml:space="preserve">повышение уровня удовлетворенности граждан качеством работы государственных служащих и работников социальной сферы;</w:t>
      </w:r>
    </w:p>
    <w:p>
      <w:pPr>
        <w:pStyle w:val="0"/>
        <w:spacing w:before="200" w:lineRule="auto"/>
        <w:ind w:firstLine="540"/>
        <w:jc w:val="both"/>
      </w:pPr>
      <w:r>
        <w:rPr>
          <w:sz w:val="20"/>
        </w:rPr>
        <w:t xml:space="preserve">дальнейшее развитие инфраструктуры МФЦ путем модернизации (ребрендинга) существующих МФЦ, оснащение их современным оборудованием.</w:t>
      </w:r>
    </w:p>
    <w:p>
      <w:pPr>
        <w:pStyle w:val="0"/>
      </w:pPr>
      <w:r>
        <w:rPr>
          <w:sz w:val="20"/>
        </w:rPr>
      </w:r>
    </w:p>
    <w:p>
      <w:pPr>
        <w:pStyle w:val="2"/>
        <w:outlineLvl w:val="2"/>
        <w:jc w:val="center"/>
      </w:pPr>
      <w:r>
        <w:rPr>
          <w:sz w:val="20"/>
        </w:rPr>
        <w:t xml:space="preserve">4.20. Поддержка социально ориентированных</w:t>
      </w:r>
    </w:p>
    <w:p>
      <w:pPr>
        <w:pStyle w:val="2"/>
        <w:jc w:val="center"/>
      </w:pPr>
      <w:r>
        <w:rPr>
          <w:sz w:val="20"/>
        </w:rPr>
        <w:t xml:space="preserve">некоммерческих организаций</w:t>
      </w:r>
    </w:p>
    <w:p>
      <w:pPr>
        <w:pStyle w:val="0"/>
      </w:pPr>
      <w:r>
        <w:rPr>
          <w:sz w:val="20"/>
        </w:rPr>
      </w:r>
    </w:p>
    <w:p>
      <w:pPr>
        <w:pStyle w:val="0"/>
        <w:ind w:firstLine="540"/>
        <w:jc w:val="both"/>
      </w:pPr>
      <w:r>
        <w:rPr>
          <w:sz w:val="20"/>
        </w:rPr>
        <w:t xml:space="preserve">Социально ориентированные некоммерческие организации (далее - СО НКО) играют важную роль в социальной сфере региона, обеспечивая поддержку наиболее уязвимых групп населения, развитие культуры и спорта, сохранение окружающей среды и продвижение гражданских инициатив.</w:t>
      </w:r>
    </w:p>
    <w:p>
      <w:pPr>
        <w:pStyle w:val="0"/>
        <w:spacing w:before="200" w:lineRule="auto"/>
        <w:ind w:firstLine="540"/>
        <w:jc w:val="both"/>
      </w:pPr>
      <w:r>
        <w:rPr>
          <w:sz w:val="20"/>
        </w:rPr>
        <w:t xml:space="preserve">В Тульской области принят </w:t>
      </w:r>
      <w:hyperlink w:history="0" r:id="rId34" w:tooltip="Закон Тульской области от 26.10.2017 N 71-ЗТО (ред. от 31.05.2018) &quot;О поддержке социально ориентированных некоммерческих организаций в Тульской области&quot; (принят Тульской областной Думой 26.10.2017) {КонсультантПлюс}">
        <w:r>
          <w:rPr>
            <w:sz w:val="20"/>
            <w:color w:val="0000ff"/>
          </w:rPr>
          <w:t xml:space="preserve">Закон</w:t>
        </w:r>
      </w:hyperlink>
      <w:r>
        <w:rPr>
          <w:sz w:val="20"/>
        </w:rPr>
        <w:t xml:space="preserve"> Тульской области от 26 октября 2017 года N 71-ЗТО "О поддержке социально ориентированных некоммерческих организаций в Тульской области", в рамках которого предусмотрены финансовая и имущественная поддержка. Одновременно финансовая поддержка СО НКО осуществляется в соответствии с </w:t>
      </w:r>
      <w:hyperlink w:history="0" r:id="rId35" w:tooltip="Закон Тульской области от 30.11.2011 N 1666-ЗТО (ред. от 24.04.2026) &quot;О грантах Тульской области социально ориентированным некоммерческим организациям&quot; (принят Тульской областной Думой 24.11.2011) {КонсультантПлюс}">
        <w:r>
          <w:rPr>
            <w:sz w:val="20"/>
            <w:color w:val="0000ff"/>
          </w:rPr>
          <w:t xml:space="preserve">Законом</w:t>
        </w:r>
      </w:hyperlink>
      <w:r>
        <w:rPr>
          <w:sz w:val="20"/>
        </w:rPr>
        <w:t xml:space="preserve"> Тульской области от 30 ноября 2011 года N 1666-ЗТО "О грантах Тульской области социально ориентированным некоммерческим организациям".</w:t>
      </w:r>
    </w:p>
    <w:p>
      <w:pPr>
        <w:pStyle w:val="0"/>
        <w:spacing w:before="200" w:lineRule="auto"/>
        <w:ind w:firstLine="540"/>
        <w:jc w:val="both"/>
      </w:pPr>
      <w:r>
        <w:rPr>
          <w:sz w:val="20"/>
        </w:rPr>
        <w:t xml:space="preserve">Стратегическая цель - создание эффективной системы поддержки и координации деятельности СО НКО, способствующей реализации социальных проектов, повышению качества жизни жителей региона и укреплению институтов гражданского общества.</w:t>
      </w:r>
    </w:p>
    <w:p>
      <w:pPr>
        <w:pStyle w:val="0"/>
        <w:spacing w:before="200" w:lineRule="auto"/>
        <w:ind w:firstLine="540"/>
        <w:jc w:val="both"/>
      </w:pPr>
      <w:r>
        <w:rPr>
          <w:sz w:val="20"/>
        </w:rPr>
        <w:t xml:space="preserve">Достижению поставленной цели будет способствовать решение следующих основных задач:</w:t>
      </w:r>
    </w:p>
    <w:p>
      <w:pPr>
        <w:pStyle w:val="0"/>
        <w:spacing w:before="200" w:lineRule="auto"/>
        <w:ind w:firstLine="540"/>
        <w:jc w:val="both"/>
      </w:pPr>
      <w:r>
        <w:rPr>
          <w:sz w:val="20"/>
        </w:rPr>
        <w:t xml:space="preserve">поддержка некоммерческих организаций, осуществляющих деятельность на территории Тульской области;</w:t>
      </w:r>
    </w:p>
    <w:p>
      <w:pPr>
        <w:pStyle w:val="0"/>
        <w:spacing w:before="200" w:lineRule="auto"/>
        <w:ind w:firstLine="540"/>
        <w:jc w:val="both"/>
      </w:pPr>
      <w:r>
        <w:rPr>
          <w:sz w:val="20"/>
        </w:rPr>
        <w:t xml:space="preserve">создание и наполнение единой информационной платформы для социально ориентированных некоммерческих организаций.</w:t>
      </w:r>
    </w:p>
    <w:p>
      <w:pPr>
        <w:pStyle w:val="0"/>
        <w:spacing w:before="200" w:lineRule="auto"/>
        <w:ind w:firstLine="540"/>
        <w:jc w:val="both"/>
      </w:pPr>
      <w:r>
        <w:rPr>
          <w:sz w:val="20"/>
        </w:rPr>
        <w:t xml:space="preserve">Выполнение указанных задач предполагает проведение следующих мероприятий:</w:t>
      </w:r>
    </w:p>
    <w:p>
      <w:pPr>
        <w:pStyle w:val="0"/>
        <w:spacing w:before="200" w:lineRule="auto"/>
        <w:ind w:firstLine="540"/>
        <w:jc w:val="both"/>
      </w:pPr>
      <w:r>
        <w:rPr>
          <w:sz w:val="20"/>
        </w:rPr>
        <w:t xml:space="preserve">формирование правовой базы, упрощающей регистрацию и деятельность некоммерческих организаций;</w:t>
      </w:r>
    </w:p>
    <w:p>
      <w:pPr>
        <w:pStyle w:val="0"/>
        <w:spacing w:before="200" w:lineRule="auto"/>
        <w:ind w:firstLine="540"/>
        <w:jc w:val="both"/>
      </w:pPr>
      <w:r>
        <w:rPr>
          <w:sz w:val="20"/>
        </w:rPr>
        <w:t xml:space="preserve">регулярное проведение конкурсов и распределение грантов среди лучших социально значимых проектов;</w:t>
      </w:r>
    </w:p>
    <w:p>
      <w:pPr>
        <w:pStyle w:val="0"/>
        <w:spacing w:before="200" w:lineRule="auto"/>
        <w:ind w:firstLine="540"/>
        <w:jc w:val="both"/>
      </w:pPr>
      <w:r>
        <w:rPr>
          <w:sz w:val="20"/>
        </w:rPr>
        <w:t xml:space="preserve">организация регулярных семинаров, тренингов и курсов повышения квалификации для сотрудников СО НКО;</w:t>
      </w:r>
    </w:p>
    <w:p>
      <w:pPr>
        <w:pStyle w:val="0"/>
        <w:spacing w:before="200" w:lineRule="auto"/>
        <w:ind w:firstLine="540"/>
        <w:jc w:val="both"/>
      </w:pPr>
      <w:r>
        <w:rPr>
          <w:sz w:val="20"/>
        </w:rPr>
        <w:t xml:space="preserve">привлечение молодых специалистов и студентов к участию в работе СО НКО;</w:t>
      </w:r>
    </w:p>
    <w:p>
      <w:pPr>
        <w:pStyle w:val="0"/>
        <w:spacing w:before="200" w:lineRule="auto"/>
        <w:ind w:firstLine="540"/>
        <w:jc w:val="both"/>
      </w:pPr>
      <w:r>
        <w:rPr>
          <w:sz w:val="20"/>
        </w:rPr>
        <w:t xml:space="preserve">обеспечение открытости и прозрачности финансовой отчетности СО НКО;</w:t>
      </w:r>
    </w:p>
    <w:p>
      <w:pPr>
        <w:pStyle w:val="0"/>
        <w:spacing w:before="200" w:lineRule="auto"/>
        <w:ind w:firstLine="540"/>
        <w:jc w:val="both"/>
      </w:pPr>
      <w:r>
        <w:rPr>
          <w:sz w:val="20"/>
        </w:rPr>
        <w:t xml:space="preserve">укрепление межведомственного взаимодействия и создание специализированных площадок для общественного диалога;</w:t>
      </w:r>
    </w:p>
    <w:p>
      <w:pPr>
        <w:pStyle w:val="0"/>
        <w:spacing w:before="200" w:lineRule="auto"/>
        <w:ind w:firstLine="540"/>
        <w:jc w:val="both"/>
      </w:pPr>
      <w:r>
        <w:rPr>
          <w:sz w:val="20"/>
        </w:rPr>
        <w:t xml:space="preserve">проведение ежегодных форумов и конференций, посвященных вопросам развития социального предпринимательства и общественной активности.</w:t>
      </w:r>
    </w:p>
    <w:p>
      <w:pPr>
        <w:pStyle w:val="0"/>
      </w:pPr>
      <w:r>
        <w:rPr>
          <w:sz w:val="20"/>
        </w:rPr>
      </w:r>
    </w:p>
    <w:p>
      <w:pPr>
        <w:pStyle w:val="2"/>
        <w:outlineLvl w:val="1"/>
        <w:jc w:val="center"/>
      </w:pPr>
      <w:r>
        <w:rPr>
          <w:sz w:val="20"/>
        </w:rPr>
        <w:t xml:space="preserve">5. Экономическое развитие Тульской области</w:t>
      </w:r>
    </w:p>
    <w:p>
      <w:pPr>
        <w:pStyle w:val="0"/>
      </w:pPr>
      <w:r>
        <w:rPr>
          <w:sz w:val="20"/>
        </w:rPr>
      </w:r>
    </w:p>
    <w:p>
      <w:pPr>
        <w:pStyle w:val="2"/>
        <w:outlineLvl w:val="2"/>
        <w:jc w:val="center"/>
      </w:pPr>
      <w:r>
        <w:rPr>
          <w:sz w:val="20"/>
        </w:rPr>
        <w:t xml:space="preserve">5.1. Развитие промышленного производства в Тульской области</w:t>
      </w:r>
    </w:p>
    <w:p>
      <w:pPr>
        <w:pStyle w:val="0"/>
      </w:pPr>
      <w:r>
        <w:rPr>
          <w:sz w:val="20"/>
        </w:rPr>
      </w:r>
    </w:p>
    <w:p>
      <w:pPr>
        <w:pStyle w:val="0"/>
        <w:ind w:firstLine="540"/>
        <w:jc w:val="both"/>
      </w:pPr>
      <w:r>
        <w:rPr>
          <w:sz w:val="20"/>
        </w:rPr>
        <w:t xml:space="preserve">Тульская область - регион, где доля промышленности в структуре ВРП высока и продолжает расти. С 2021 года по 2023 год рост ВРП с 42,0% до 44% (и до 48% по оценкам 2024 года). В свою очередь, в общем объеме валовой добавленной стоимости промышленных производств Тульской области доля обрабатывающих производств в 2021 - 2023 годы составляла более 90% (92,6% в 2023 году). Как следствие, по доле обрабатывающих производств в структуре ВРП (43,9% в 2023 году) Тульская область занимает 2-е место в Российской Федерации, уступая только Вологодской области и значительно опережая средние показатели по ЦФО (16,7%) и Российской Федерации (15,9%).</w:t>
      </w:r>
    </w:p>
    <w:p>
      <w:pPr>
        <w:pStyle w:val="0"/>
        <w:spacing w:before="200" w:lineRule="auto"/>
        <w:ind w:firstLine="540"/>
        <w:jc w:val="both"/>
      </w:pPr>
      <w:r>
        <w:rPr>
          <w:sz w:val="20"/>
        </w:rPr>
        <w:t xml:space="preserve">По итогам 2024 года по объему отгруженных товаров собственного производства по виду экономической деятельности "Обрабатывающие производства" (1,8 трлн рублей, +24,7% к 2023 году) Тульская область заняла 3-е место среди регионов ЦФО (после Москвы и Московской области) и 13-е место среди всех регионов Российской Федерации.</w:t>
      </w:r>
    </w:p>
    <w:p>
      <w:pPr>
        <w:pStyle w:val="0"/>
        <w:spacing w:before="200" w:lineRule="auto"/>
        <w:ind w:firstLine="540"/>
        <w:jc w:val="both"/>
      </w:pPr>
      <w:r>
        <w:rPr>
          <w:sz w:val="20"/>
        </w:rPr>
        <w:t xml:space="preserve">Динамика промышленного производства в Тульской области в 2020-х годах значительно опережает среднероссийские показатели. Региональный индекс промышленного производства в 2024 году составил 109,2% к уровню 2023 года (против 105,6% в Российской Федерации) и 144,6% к уровню 2020 года (против 117,9% в Российской Федерации). Физический объем выпуска в обрабатывающих производствах Тульской области в 2024 году к уровню 2020 года составил 147,0% (128,6% в Российской Федерации).</w:t>
      </w:r>
    </w:p>
    <w:p>
      <w:pPr>
        <w:pStyle w:val="0"/>
        <w:spacing w:before="200" w:lineRule="auto"/>
        <w:ind w:firstLine="540"/>
        <w:jc w:val="both"/>
      </w:pPr>
      <w:r>
        <w:rPr>
          <w:sz w:val="20"/>
        </w:rPr>
        <w:t xml:space="preserve">Высокие темпы роста региональной промышленности обусловлены увеличением гособоронзаказа, реализацией инвестиционных проектов, в том числе по импортозамещению, активным использованием действующих мер поддержки на федеральном и региональном уровнях.</w:t>
      </w:r>
    </w:p>
    <w:p>
      <w:pPr>
        <w:pStyle w:val="0"/>
        <w:spacing w:before="200" w:lineRule="auto"/>
        <w:ind w:firstLine="540"/>
        <w:jc w:val="both"/>
      </w:pPr>
      <w:r>
        <w:rPr>
          <w:sz w:val="20"/>
        </w:rPr>
        <w:t xml:space="preserve">В 2024 году численность занятых в промышленности Тульской области составила 198,8 тыс. человек (26,8% от общей численности занятых в экономике региона), в том числе 2,7 тыс. человек - в добыче полезных ископаемых, 170,6 тыс. человек - в обрабатывающих производствах, 16,3 тыс. человек - в обеспечении электрической энергией, газом и паром, 7,3 тыс. человек - в водоснабжении, водоотведении, организации сбора и утилизации отходов. С учетом того, что 27,0% занятых участвуют в формировании около 50% ВРП региона, можно сделать вывод о том, что производительность труда в промышленности в 1,9 раза выше, чем в среднем по экономике Тульской области.</w:t>
      </w:r>
    </w:p>
    <w:p>
      <w:pPr>
        <w:pStyle w:val="0"/>
        <w:spacing w:before="200" w:lineRule="auto"/>
        <w:ind w:firstLine="540"/>
        <w:jc w:val="both"/>
      </w:pPr>
      <w:r>
        <w:rPr>
          <w:sz w:val="20"/>
        </w:rPr>
        <w:t xml:space="preserve">В 2020 годы динамика физического объема инвестиций в основной капитал Тульской области соответствовала общероссийским показателям (2024 году к уровню 2020 году: 138,1% в Тульской области и 136,6% в Российской Федерации).</w:t>
      </w:r>
    </w:p>
    <w:p>
      <w:pPr>
        <w:pStyle w:val="0"/>
        <w:spacing w:before="200" w:lineRule="auto"/>
        <w:ind w:firstLine="540"/>
        <w:jc w:val="both"/>
      </w:pPr>
      <w:r>
        <w:rPr>
          <w:sz w:val="20"/>
        </w:rPr>
        <w:t xml:space="preserve">В структуре выпуска региональной промышленности ведущее положение занимают следующие виды деятельности (по данным за 2024 год):</w:t>
      </w:r>
    </w:p>
    <w:p>
      <w:pPr>
        <w:pStyle w:val="0"/>
        <w:spacing w:before="200" w:lineRule="auto"/>
        <w:ind w:firstLine="540"/>
        <w:jc w:val="both"/>
      </w:pPr>
      <w:r>
        <w:rPr>
          <w:sz w:val="20"/>
        </w:rPr>
        <w:t xml:space="preserve">производство готовых металлических изделий (26,5%);</w:t>
      </w:r>
    </w:p>
    <w:p>
      <w:pPr>
        <w:pStyle w:val="0"/>
        <w:spacing w:before="200" w:lineRule="auto"/>
        <w:ind w:firstLine="540"/>
        <w:jc w:val="both"/>
      </w:pPr>
      <w:r>
        <w:rPr>
          <w:sz w:val="20"/>
        </w:rPr>
        <w:t xml:space="preserve">производство химических веществ и химических продуктов (13,3%);</w:t>
      </w:r>
    </w:p>
    <w:p>
      <w:pPr>
        <w:pStyle w:val="0"/>
        <w:spacing w:before="200" w:lineRule="auto"/>
        <w:ind w:firstLine="540"/>
        <w:jc w:val="both"/>
      </w:pPr>
      <w:r>
        <w:rPr>
          <w:sz w:val="20"/>
        </w:rPr>
        <w:t xml:space="preserve">производство автотранспортных средств (12,6%);</w:t>
      </w:r>
    </w:p>
    <w:p>
      <w:pPr>
        <w:pStyle w:val="0"/>
        <w:spacing w:before="200" w:lineRule="auto"/>
        <w:ind w:firstLine="540"/>
        <w:jc w:val="both"/>
      </w:pPr>
      <w:r>
        <w:rPr>
          <w:sz w:val="20"/>
        </w:rPr>
        <w:t xml:space="preserve">производство пищевых продуктов (11%);</w:t>
      </w:r>
    </w:p>
    <w:p>
      <w:pPr>
        <w:pStyle w:val="0"/>
        <w:spacing w:before="200" w:lineRule="auto"/>
        <w:ind w:firstLine="540"/>
        <w:jc w:val="both"/>
      </w:pPr>
      <w:r>
        <w:rPr>
          <w:sz w:val="20"/>
        </w:rPr>
        <w:t xml:space="preserve">производство металлургическое (10,8%);</w:t>
      </w:r>
    </w:p>
    <w:p>
      <w:pPr>
        <w:pStyle w:val="0"/>
        <w:spacing w:before="200" w:lineRule="auto"/>
        <w:ind w:firstLine="540"/>
        <w:jc w:val="both"/>
      </w:pPr>
      <w:r>
        <w:rPr>
          <w:sz w:val="20"/>
        </w:rPr>
        <w:t xml:space="preserve">производство компьютеров, электронных и оптических изделий (3,6%);</w:t>
      </w:r>
    </w:p>
    <w:p>
      <w:pPr>
        <w:pStyle w:val="0"/>
        <w:spacing w:before="200" w:lineRule="auto"/>
        <w:ind w:firstLine="540"/>
        <w:jc w:val="both"/>
      </w:pPr>
      <w:r>
        <w:rPr>
          <w:sz w:val="20"/>
        </w:rPr>
        <w:t xml:space="preserve">обеспечение электрической энергией, газом и паром (3,1%);</w:t>
      </w:r>
    </w:p>
    <w:p>
      <w:pPr>
        <w:pStyle w:val="0"/>
        <w:spacing w:before="200" w:lineRule="auto"/>
        <w:ind w:firstLine="540"/>
        <w:jc w:val="both"/>
      </w:pPr>
      <w:r>
        <w:rPr>
          <w:sz w:val="20"/>
        </w:rPr>
        <w:t xml:space="preserve">производство бумаги и бумажных изделий (3%);</w:t>
      </w:r>
    </w:p>
    <w:p>
      <w:pPr>
        <w:pStyle w:val="0"/>
        <w:spacing w:before="200" w:lineRule="auto"/>
        <w:ind w:firstLine="540"/>
        <w:jc w:val="both"/>
      </w:pPr>
      <w:r>
        <w:rPr>
          <w:sz w:val="20"/>
        </w:rPr>
        <w:t xml:space="preserve">производство строительных материалов (2,9%);</w:t>
      </w:r>
    </w:p>
    <w:p>
      <w:pPr>
        <w:pStyle w:val="0"/>
        <w:spacing w:before="200" w:lineRule="auto"/>
        <w:ind w:firstLine="540"/>
        <w:jc w:val="both"/>
      </w:pPr>
      <w:r>
        <w:rPr>
          <w:sz w:val="20"/>
        </w:rPr>
        <w:t xml:space="preserve">производство напитков (2,5%).</w:t>
      </w:r>
    </w:p>
    <w:p>
      <w:pPr>
        <w:pStyle w:val="0"/>
        <w:spacing w:before="200" w:lineRule="auto"/>
        <w:ind w:firstLine="540"/>
        <w:jc w:val="both"/>
      </w:pPr>
      <w:r>
        <w:rPr>
          <w:sz w:val="20"/>
        </w:rPr>
        <w:t xml:space="preserve">Крупнейшими промышленными предприятиями Тульской области являются: акционерное общество "Конструкторское бюро приборостроения им. академика А.Г. Шипунова", акционерное общество "Акционерная компания "Туламашзавод", акционерное общество "Научно-производственное объединение "Сплав" имени А.Н. Ганичева" (производство машиностроительной продукции и готовых металлических изделий); акционерное общество "Новомосковская акционерная компания "Азот", общество с ограниченной ответственностью "Полипласт Новомосковск", акционерное общество "Щекиноазот" (производство химической продукции); акционерное общество "Тулачермет", акционерное общество "Косогорский металлургический завод" (черная металлургия); общество с ограниченной ответственностью "Хавейл Мотор Мануфэкчуринг Рус" (автомобилестроение).</w:t>
      </w:r>
    </w:p>
    <w:p>
      <w:pPr>
        <w:pStyle w:val="0"/>
        <w:spacing w:before="200" w:lineRule="auto"/>
        <w:ind w:firstLine="540"/>
        <w:jc w:val="both"/>
      </w:pPr>
      <w:r>
        <w:rPr>
          <w:sz w:val="20"/>
        </w:rPr>
        <w:t xml:space="preserve">К числу основных конкурентных преимуществ индустриального сектора Тульской области можно отнести диверсифицированный характер региональной промышленности. Имеется несколько отраслей-лидеров, обладающих мощным технологическим и кадровым потенциалом и высоким уровнем развития: ОПК, химическая промышленность, металлургия, автомобилестроение, пищевая промышленность. В регионе присутствует большое число предприятий, способных производить конкурентоспособную высокотехнологичную продукцию. Начиная с 2010 года индекс промышленного производства стабильно превышал 100% (даже в кризисные периоды). Промышленные предприятия конкурентоспособны на местном рынке труда: по итогам 2024 года среднемесячная начисленная заработная плата работников организаций в промышленности Тульской области составила 88036,6 рублей, что на 19,2% превышает среднее значение по экономике региона.</w:t>
      </w:r>
    </w:p>
    <w:p>
      <w:pPr>
        <w:pStyle w:val="0"/>
        <w:spacing w:before="200" w:lineRule="auto"/>
        <w:ind w:firstLine="540"/>
        <w:jc w:val="both"/>
      </w:pPr>
      <w:r>
        <w:rPr>
          <w:sz w:val="20"/>
        </w:rPr>
        <w:t xml:space="preserve">Оборонно-промышленный комплекс традиционно является одной из ключевых отраслей экономики Тульской области (более 30% в структуре промышленного производства), объединяя 20 крупных предприятий, на которых трудится около 40 тыс. человек, и более 100 предприятий, работающих в кооперации с ними. Индекс производства ОПК за 2024 год составил 119,6%, объем отгрузки превысил 500 млрд. рублей (прирост более 50%). По итогам 10 месяцев 2025 года индекс производства вырос более чем на 30%, а объем отгрузки - на 60%.</w:t>
      </w:r>
    </w:p>
    <w:p>
      <w:pPr>
        <w:pStyle w:val="0"/>
        <w:spacing w:before="200" w:lineRule="auto"/>
        <w:ind w:firstLine="540"/>
        <w:jc w:val="both"/>
      </w:pPr>
      <w:r>
        <w:rPr>
          <w:sz w:val="20"/>
        </w:rPr>
        <w:t xml:space="preserve">Основной объем продукции ОПК поставляется по гособоронзаказу в рамках контрактов с Минобороны России для оснащения Вооруженных Сил Российской Федерации передовым вооружением и военной техникой. Начиная с 2022 года, предприятия перестроили производственные процессы, продолжают наращивать мощности и реализуют проекты по производству новых видов продукции и импортозамещению. В соответствии с рейтингом, проводимым Военно-промышленной комиссией России, предприятия Тульской области отмечены как лидеры по поставкам в рамках оборонного госзаказа.</w:t>
      </w:r>
    </w:p>
    <w:p>
      <w:pPr>
        <w:pStyle w:val="0"/>
        <w:spacing w:before="200" w:lineRule="auto"/>
        <w:ind w:firstLine="540"/>
        <w:jc w:val="both"/>
      </w:pPr>
      <w:r>
        <w:rPr>
          <w:sz w:val="20"/>
        </w:rPr>
        <w:t xml:space="preserve">Выполняя поручения Президента Российской Федерации по развитию отрасли беспилотных авиационных систем (далее - БАС), Тульская область активно включилась в работу по развитию новой для региона отрасли: осуществляется сборка отдельных типов БАС, ведется работа по локализации производства, разработке собственных беспилотников, аппаратных комплексов управления ими и других комплектующих. Ряд выпускаемых в Тульской области БАС поставляются для нужд Минобороны России. Развитие отрасли также имеет стратегическое значение для многих других секторов экономики: службы медицины катастроф, транспортировки, экологического мониторинга, сельскохозяйственных работ, топографической съемки и других.</w:t>
      </w:r>
    </w:p>
    <w:p>
      <w:pPr>
        <w:pStyle w:val="0"/>
        <w:spacing w:before="200" w:lineRule="auto"/>
        <w:ind w:firstLine="540"/>
        <w:jc w:val="both"/>
      </w:pPr>
      <w:r>
        <w:rPr>
          <w:sz w:val="20"/>
        </w:rPr>
        <w:t xml:space="preserve">Доля химической промышленности в общем объеме отгрузки продукции промышленности Тульской области составляет около 13%. В структуре выпускаемой химической продукции преобладают азотные удобрения (карбамид), метанол, моющие средства, добавки для строительной отрасли, каучук, синтетические волокна и пластмассы.</w:t>
      </w:r>
    </w:p>
    <w:p>
      <w:pPr>
        <w:pStyle w:val="0"/>
        <w:spacing w:before="200" w:lineRule="auto"/>
        <w:ind w:firstLine="540"/>
        <w:jc w:val="both"/>
      </w:pPr>
      <w:r>
        <w:rPr>
          <w:sz w:val="20"/>
        </w:rPr>
        <w:t xml:space="preserve">Несмотря на введение антироссийских санкций, химическая продукция из Тульской области активно экспортируется в различные страны мира, в том числе в Китай, Турцию, Индию и другие. Основу экспорта составляют минеральные удобрения и пластмассы. По объемам экспортных поставок химическая промышленность занимает первое место среди всех отраслей региона.</w:t>
      </w:r>
    </w:p>
    <w:p>
      <w:pPr>
        <w:pStyle w:val="0"/>
        <w:spacing w:before="200" w:lineRule="auto"/>
        <w:ind w:firstLine="540"/>
        <w:jc w:val="both"/>
      </w:pPr>
      <w:r>
        <w:rPr>
          <w:sz w:val="20"/>
        </w:rPr>
        <w:t xml:space="preserve">В химической промышленности Тульской области в 2022 - 2024 годы реализованы следующие крупные проекты, направленные на импортозамещение и развитие технологического суверенитета:</w:t>
      </w:r>
    </w:p>
    <w:p>
      <w:pPr>
        <w:pStyle w:val="0"/>
        <w:spacing w:before="200" w:lineRule="auto"/>
        <w:ind w:firstLine="540"/>
        <w:jc w:val="both"/>
      </w:pPr>
      <w:r>
        <w:rPr>
          <w:sz w:val="20"/>
        </w:rPr>
        <w:t xml:space="preserve">общество с ограниченной ответственностью "Полипласт Новомосковск" - первая очередь комплекса по производству термостабильных полимеров. Проектная мощность - 200 тыс. т в год, создано 650 рабочих мест, общий объем инвестиций - 17 млрд. рублей;</w:t>
      </w:r>
    </w:p>
    <w:p>
      <w:pPr>
        <w:pStyle w:val="0"/>
        <w:spacing w:before="200" w:lineRule="auto"/>
        <w:ind w:firstLine="540"/>
        <w:jc w:val="both"/>
      </w:pPr>
      <w:r>
        <w:rPr>
          <w:sz w:val="20"/>
        </w:rPr>
        <w:t xml:space="preserve">акционерное общество "Щекиноазот" - комплекс по производству азотной кислоты мощностью 270 тыс. т в год и аммиачной селитры мощностью 340 тыс. тонн в год, создано 145 рабочих мест, общий объем инвестиций - 15 млрд. рублей;</w:t>
      </w:r>
    </w:p>
    <w:p>
      <w:pPr>
        <w:pStyle w:val="0"/>
        <w:spacing w:before="200" w:lineRule="auto"/>
        <w:ind w:firstLine="540"/>
        <w:jc w:val="both"/>
      </w:pPr>
      <w:r>
        <w:rPr>
          <w:sz w:val="20"/>
        </w:rPr>
        <w:t xml:space="preserve">акционерное общество "Новомосковская акционерная компания "Азот" (акционерное общество "Минерально-химическая компания "ЕвроХим") - производство сжиженной углекислоты производительностью 4 т/ч; объем инвестиций - 1,034 млрд. рублей;</w:t>
      </w:r>
    </w:p>
    <w:p>
      <w:pPr>
        <w:pStyle w:val="0"/>
        <w:spacing w:before="200" w:lineRule="auto"/>
        <w:ind w:firstLine="540"/>
        <w:jc w:val="both"/>
      </w:pPr>
      <w:r>
        <w:rPr>
          <w:sz w:val="20"/>
        </w:rPr>
        <w:t xml:space="preserve">общество с ограниченной ответственностью "Полипласт Новомосковск" - новый производственный комплекс по выпуску сухих функциональных добавок мощностью до 85 тыс. т в год; создано 80 рабочих мест; объем инвестиций - 1 млрд. рублей.</w:t>
      </w:r>
    </w:p>
    <w:p>
      <w:pPr>
        <w:pStyle w:val="0"/>
        <w:spacing w:before="200" w:lineRule="auto"/>
        <w:ind w:firstLine="540"/>
        <w:jc w:val="both"/>
      </w:pPr>
      <w:r>
        <w:rPr>
          <w:sz w:val="20"/>
        </w:rPr>
        <w:t xml:space="preserve">Производство автотранспортных средств обеспечивает более 12% объема промышленного производства в регионе. Тульский производитель автомобилей общество с ограниченной ответственностью "Хавейл Мотор Мануфэкчуринг Рус" стал вторым по объему производства автозаводом в стране, выпустив в 2024 году 130 тыс. автомобилей. Помимо сборки, производственный процесс включает штамповку кузовных деталей, сварку и окраску кузовов. Компанией продолжается активная работа по локализации производства автокомпонентов в соответствии с заключенным специальным инвестиционным контрактом. В рамках данной работы инвестиции компании в цех производства двигателей, коробки перемены передач и автокомпонентов составят около 50 млрд. рублей. Срок строительства двух очередей - до 2027 года.</w:t>
      </w:r>
    </w:p>
    <w:p>
      <w:pPr>
        <w:pStyle w:val="0"/>
        <w:spacing w:before="200" w:lineRule="auto"/>
        <w:ind w:firstLine="540"/>
        <w:jc w:val="both"/>
      </w:pPr>
      <w:r>
        <w:rPr>
          <w:sz w:val="20"/>
        </w:rPr>
        <w:t xml:space="preserve">Металлургия обеспечивает около 11% объема промышленного производства в регионе. Основные виды продукции отрасли - чугун передельный и литейный, сортовой прокат, доменные ферросплавы. В области работает шесть крупных металлургических предприятий с суммарным числом занятых свыше 11 тыс. человек (акционерное общество "Тулачермет", общество с ограниченной ответственностью "Промсорт-Тула", акционерное общество "Косогорский металлургический завод", акционерное общество "ЕВРАЗ Ванадий Тула", акционерное общество "Полема", общество с ограниченной ответственностью "Металлопрокатный завод"). Из-за антироссийских санкций, введенных начиная с 2022 года, отмечается снижение экспортных поставок в страны дальнего зарубежья.</w:t>
      </w:r>
    </w:p>
    <w:p>
      <w:pPr>
        <w:pStyle w:val="0"/>
        <w:spacing w:before="200" w:lineRule="auto"/>
        <w:ind w:firstLine="540"/>
        <w:jc w:val="both"/>
      </w:pPr>
      <w:r>
        <w:rPr>
          <w:sz w:val="20"/>
        </w:rPr>
        <w:t xml:space="preserve">Производство бумаги и бумажных изделий обеспечивает около 3% объема производства в промышленности региона. Основные виды производимой продукции: гофрокартон и гофроупаковка, бумага санитарного назначения, гигиенические изделия, полиграфическая продукция. В связи с введением санкций предприятия вынуждены перестроиться на альтернативные рынки.</w:t>
      </w:r>
    </w:p>
    <w:p>
      <w:pPr>
        <w:pStyle w:val="0"/>
        <w:spacing w:before="200" w:lineRule="auto"/>
        <w:ind w:firstLine="540"/>
        <w:jc w:val="both"/>
      </w:pPr>
      <w:r>
        <w:rPr>
          <w:sz w:val="20"/>
        </w:rPr>
        <w:t xml:space="preserve">Производство строительных материалов обеспечивает порядка 3% объема промышленного производства региона и осуществляется по следующим направлениям: производство товарных бетонов, цемента, керамического кирпича и плитки, теплоизоляционных материалов, современных отделочных материалов, огнеупорных изделий, строительных металлических конструкций, железобетонных конструкций, щебня.</w:t>
      </w:r>
    </w:p>
    <w:p>
      <w:pPr>
        <w:pStyle w:val="0"/>
        <w:spacing w:before="200" w:lineRule="auto"/>
        <w:ind w:firstLine="540"/>
        <w:jc w:val="both"/>
      </w:pPr>
      <w:r>
        <w:rPr>
          <w:sz w:val="20"/>
        </w:rPr>
        <w:t xml:space="preserve">Стратегическая цель развития промышленного производства Тульской области - устойчивый рост промышленного производства в регионе, повышение технологического уровня промышленных предприятий и их конкурентоспособности на российском и мировом рынках.</w:t>
      </w:r>
    </w:p>
    <w:p>
      <w:pPr>
        <w:pStyle w:val="0"/>
        <w:spacing w:before="200" w:lineRule="auto"/>
        <w:ind w:firstLine="540"/>
        <w:jc w:val="both"/>
      </w:pPr>
      <w:r>
        <w:rPr>
          <w:sz w:val="20"/>
        </w:rPr>
        <w:t xml:space="preserve">Для достижения поставленной цели должны быть решены следующие основные задачи:</w:t>
      </w:r>
    </w:p>
    <w:p>
      <w:pPr>
        <w:pStyle w:val="0"/>
        <w:spacing w:before="200" w:lineRule="auto"/>
        <w:ind w:firstLine="540"/>
        <w:jc w:val="both"/>
      </w:pPr>
      <w:r>
        <w:rPr>
          <w:sz w:val="20"/>
        </w:rPr>
        <w:t xml:space="preserve">повышение производительности труда, в том числе за счет активного вовлечения региональных предприятий в процессы цифровизации производственных процессов, повышения плотности роботизации;</w:t>
      </w:r>
    </w:p>
    <w:p>
      <w:pPr>
        <w:pStyle w:val="0"/>
        <w:spacing w:before="200" w:lineRule="auto"/>
        <w:ind w:firstLine="540"/>
        <w:jc w:val="both"/>
      </w:pPr>
      <w:r>
        <w:rPr>
          <w:sz w:val="20"/>
        </w:rPr>
        <w:t xml:space="preserve">создание и развитие промышленных кластеров, технопарков и центров компетенций (в том числе в области производства новых материалов, беспилотных авиационных систем, робототехники), развитие в регионе современной инженерной инфраструктуры для размещения новых высокотехнологичных промышленных производств;</w:t>
      </w:r>
    </w:p>
    <w:p>
      <w:pPr>
        <w:pStyle w:val="0"/>
        <w:spacing w:before="200" w:lineRule="auto"/>
        <w:ind w:firstLine="540"/>
        <w:jc w:val="both"/>
      </w:pPr>
      <w:r>
        <w:rPr>
          <w:sz w:val="20"/>
        </w:rPr>
        <w:t xml:space="preserve">освоение производства наукоемкой продукции и развитие импортозамещающих производств, в том числе с привлечением опыта и конструкторского потенциала оборонно-промышленных предприятий региона в области обратного инжиниринга;</w:t>
      </w:r>
    </w:p>
    <w:p>
      <w:pPr>
        <w:pStyle w:val="0"/>
        <w:spacing w:before="200" w:lineRule="auto"/>
        <w:ind w:firstLine="540"/>
        <w:jc w:val="both"/>
      </w:pPr>
      <w:r>
        <w:rPr>
          <w:sz w:val="20"/>
        </w:rPr>
        <w:t xml:space="preserve">повышение уровня локализации сборочных производств (прежде всего, в автопроме и станкостроении);</w:t>
      </w:r>
    </w:p>
    <w:p>
      <w:pPr>
        <w:pStyle w:val="0"/>
        <w:spacing w:before="200" w:lineRule="auto"/>
        <w:ind w:firstLine="540"/>
        <w:jc w:val="both"/>
      </w:pPr>
      <w:r>
        <w:rPr>
          <w:sz w:val="20"/>
        </w:rPr>
        <w:t xml:space="preserve">развитие производства продукции более высоких переделов в химической, металлургической и пищевой промышленности;</w:t>
      </w:r>
    </w:p>
    <w:p>
      <w:pPr>
        <w:pStyle w:val="0"/>
        <w:spacing w:before="200" w:lineRule="auto"/>
        <w:ind w:firstLine="540"/>
        <w:jc w:val="both"/>
      </w:pPr>
      <w:r>
        <w:rPr>
          <w:sz w:val="20"/>
        </w:rPr>
        <w:t xml:space="preserve">обеспечение синергетического эффекта между функционированием промышленности и реализацией туристического потенциала Тульской области за счет активного развития промышленного туризма и сокращения негативного воздействия на экологию промышленных производств (вредных выбросов в атмосферу, загрязнения сточных вод, образования отходов).</w:t>
      </w:r>
    </w:p>
    <w:p>
      <w:pPr>
        <w:pStyle w:val="0"/>
        <w:spacing w:before="200" w:lineRule="auto"/>
        <w:ind w:firstLine="540"/>
        <w:jc w:val="both"/>
      </w:pPr>
      <w:r>
        <w:rPr>
          <w:sz w:val="20"/>
        </w:rPr>
        <w:t xml:space="preserve">Задачи по развитию промышленного производства Тульской области планируется достигнуть за счет реализации следующих направлений:</w:t>
      </w:r>
    </w:p>
    <w:p>
      <w:pPr>
        <w:pStyle w:val="0"/>
        <w:spacing w:before="200" w:lineRule="auto"/>
        <w:ind w:firstLine="540"/>
        <w:jc w:val="both"/>
      </w:pPr>
      <w:r>
        <w:rPr>
          <w:sz w:val="20"/>
        </w:rPr>
        <w:t xml:space="preserve">обеспечение прироста доли обрабатывающих производств в структуре ВРП и индекса промышленного производства;</w:t>
      </w:r>
    </w:p>
    <w:p>
      <w:pPr>
        <w:pStyle w:val="0"/>
        <w:spacing w:before="200" w:lineRule="auto"/>
        <w:ind w:firstLine="540"/>
        <w:jc w:val="both"/>
      </w:pPr>
      <w:r>
        <w:rPr>
          <w:sz w:val="20"/>
        </w:rPr>
        <w:t xml:space="preserve">обеспечение роста показателей: объем отгруженной промышленной продукции, индекс физического объема инвестиций в основной капитал;</w:t>
      </w:r>
    </w:p>
    <w:p>
      <w:pPr>
        <w:pStyle w:val="0"/>
        <w:spacing w:before="200" w:lineRule="auto"/>
        <w:ind w:firstLine="540"/>
        <w:jc w:val="both"/>
      </w:pPr>
      <w:r>
        <w:rPr>
          <w:sz w:val="20"/>
        </w:rPr>
        <w:t xml:space="preserve">увеличение несырьевого неэнергетического промышленного экспорта в дружественные страны, в том числе увеличение стран - покупателей несырьевых неэнергетических промышленных товаров;</w:t>
      </w:r>
    </w:p>
    <w:p>
      <w:pPr>
        <w:pStyle w:val="0"/>
        <w:spacing w:before="200" w:lineRule="auto"/>
        <w:ind w:firstLine="540"/>
        <w:jc w:val="both"/>
      </w:pPr>
      <w:r>
        <w:rPr>
          <w:sz w:val="20"/>
        </w:rPr>
        <w:t xml:space="preserve">реализация финансовых региональных мер поддержки промышленных предприятий;</w:t>
      </w:r>
    </w:p>
    <w:p>
      <w:pPr>
        <w:pStyle w:val="0"/>
        <w:spacing w:before="200" w:lineRule="auto"/>
        <w:ind w:firstLine="540"/>
        <w:jc w:val="both"/>
      </w:pPr>
      <w:r>
        <w:rPr>
          <w:sz w:val="20"/>
        </w:rPr>
        <w:t xml:space="preserve">обеспечение капитализации регионального фонда развития промышленности в целях выдачи льготного заемного финансирования, в том числе рост количества предприятий, профинансированных региональным фондом развития промышленности;</w:t>
      </w:r>
    </w:p>
    <w:p>
      <w:pPr>
        <w:pStyle w:val="0"/>
        <w:spacing w:before="200" w:lineRule="auto"/>
        <w:ind w:firstLine="540"/>
        <w:jc w:val="both"/>
      </w:pPr>
      <w:r>
        <w:rPr>
          <w:sz w:val="20"/>
        </w:rPr>
        <w:t xml:space="preserve">увеличение хозяйствующих субъектов в сфере промышленности, которым предоставлены региональные меры поддержки в связи с выходом на зарубежные рынки;</w:t>
      </w:r>
    </w:p>
    <w:p>
      <w:pPr>
        <w:pStyle w:val="0"/>
        <w:spacing w:before="200" w:lineRule="auto"/>
        <w:ind w:firstLine="540"/>
        <w:jc w:val="both"/>
      </w:pPr>
      <w:r>
        <w:rPr>
          <w:sz w:val="20"/>
        </w:rPr>
        <w:t xml:space="preserve">реализация механизма специальных инвестиционных контрактов;</w:t>
      </w:r>
    </w:p>
    <w:p>
      <w:pPr>
        <w:pStyle w:val="0"/>
        <w:spacing w:before="200" w:lineRule="auto"/>
        <w:ind w:firstLine="540"/>
        <w:jc w:val="both"/>
      </w:pPr>
      <w:r>
        <w:rPr>
          <w:sz w:val="20"/>
        </w:rPr>
        <w:t xml:space="preserve">обеспечение вклада Тульской области в развитие промышленности на новых территориях;</w:t>
      </w:r>
    </w:p>
    <w:p>
      <w:pPr>
        <w:pStyle w:val="0"/>
        <w:spacing w:before="200" w:lineRule="auto"/>
        <w:ind w:firstLine="540"/>
        <w:jc w:val="both"/>
      </w:pPr>
      <w:r>
        <w:rPr>
          <w:sz w:val="20"/>
        </w:rPr>
        <w:t xml:space="preserve">увеличение доли российской подтвержденной продукции в реестре российской промышленной продукции на платформе государственной информационной системы промышленности;</w:t>
      </w:r>
    </w:p>
    <w:p>
      <w:pPr>
        <w:pStyle w:val="0"/>
        <w:spacing w:before="200" w:lineRule="auto"/>
        <w:ind w:firstLine="540"/>
        <w:jc w:val="both"/>
      </w:pPr>
      <w:r>
        <w:rPr>
          <w:sz w:val="20"/>
        </w:rPr>
        <w:t xml:space="preserve">обеспечение участия Тульской области в получении Единой региональной субсидии;</w:t>
      </w:r>
    </w:p>
    <w:p>
      <w:pPr>
        <w:pStyle w:val="0"/>
        <w:spacing w:before="200" w:lineRule="auto"/>
        <w:ind w:firstLine="540"/>
        <w:jc w:val="both"/>
      </w:pPr>
      <w:r>
        <w:rPr>
          <w:sz w:val="20"/>
        </w:rPr>
        <w:t xml:space="preserve">увеличение профинансированных Фондом развития промышленности заявок на получение государственной поддержки;</w:t>
      </w:r>
    </w:p>
    <w:p>
      <w:pPr>
        <w:pStyle w:val="0"/>
        <w:spacing w:before="200" w:lineRule="auto"/>
        <w:ind w:firstLine="540"/>
        <w:jc w:val="both"/>
      </w:pPr>
      <w:r>
        <w:rPr>
          <w:sz w:val="20"/>
        </w:rPr>
        <w:t xml:space="preserve">увеличение количества проектов в рамках создания (функционирования) индустриальных (промышленных) парков и (или) промышленных технопарков и (или) промышленных кластеров, получивших меры государственной поддержки;</w:t>
      </w:r>
    </w:p>
    <w:p>
      <w:pPr>
        <w:pStyle w:val="0"/>
        <w:spacing w:before="200" w:lineRule="auto"/>
        <w:ind w:firstLine="540"/>
        <w:jc w:val="both"/>
      </w:pPr>
      <w:r>
        <w:rPr>
          <w:sz w:val="20"/>
        </w:rPr>
        <w:t xml:space="preserve">организация мероприятий по привлечению молодежи в сферу промышленного производства;</w:t>
      </w:r>
    </w:p>
    <w:p>
      <w:pPr>
        <w:pStyle w:val="0"/>
        <w:spacing w:before="200" w:lineRule="auto"/>
        <w:ind w:firstLine="540"/>
        <w:jc w:val="both"/>
      </w:pPr>
      <w:r>
        <w:rPr>
          <w:sz w:val="20"/>
        </w:rPr>
        <w:t xml:space="preserve">участие в конгрессно-выставочных мероприятиях;</w:t>
      </w:r>
    </w:p>
    <w:p>
      <w:pPr>
        <w:pStyle w:val="0"/>
        <w:spacing w:before="200" w:lineRule="auto"/>
        <w:ind w:firstLine="540"/>
        <w:jc w:val="both"/>
      </w:pPr>
      <w:r>
        <w:rPr>
          <w:sz w:val="20"/>
        </w:rPr>
        <w:t xml:space="preserve">организация заседаний региональных совещательных и координационных советов в сфере промышленности и привлечения инвестиций;</w:t>
      </w:r>
    </w:p>
    <w:p>
      <w:pPr>
        <w:pStyle w:val="0"/>
        <w:spacing w:before="200" w:lineRule="auto"/>
        <w:ind w:firstLine="540"/>
        <w:jc w:val="both"/>
      </w:pPr>
      <w:r>
        <w:rPr>
          <w:sz w:val="20"/>
        </w:rPr>
        <w:t xml:space="preserve">развитие промышленного туризма в Тульской области;</w:t>
      </w:r>
    </w:p>
    <w:p>
      <w:pPr>
        <w:pStyle w:val="0"/>
        <w:spacing w:before="200" w:lineRule="auto"/>
        <w:ind w:firstLine="540"/>
        <w:jc w:val="both"/>
      </w:pPr>
      <w:r>
        <w:rPr>
          <w:sz w:val="20"/>
        </w:rPr>
        <w:t xml:space="preserve">участие в выездных стажировках "Федеральная практика" или заседаниях Координационного совета по промышленности;</w:t>
      </w:r>
    </w:p>
    <w:p>
      <w:pPr>
        <w:pStyle w:val="0"/>
        <w:spacing w:before="200" w:lineRule="auto"/>
        <w:ind w:firstLine="540"/>
        <w:jc w:val="both"/>
      </w:pPr>
      <w:r>
        <w:rPr>
          <w:sz w:val="20"/>
        </w:rPr>
        <w:t xml:space="preserve">участие Тульской области во всероссийском конкурсе "Кадры для цифровой промышленности. Создание законченных проектно-конструкторских решений в режиме соревнований "Кибердром";</w:t>
      </w:r>
    </w:p>
    <w:p>
      <w:pPr>
        <w:pStyle w:val="0"/>
        <w:spacing w:before="200" w:lineRule="auto"/>
        <w:ind w:firstLine="540"/>
        <w:jc w:val="both"/>
      </w:pPr>
      <w:r>
        <w:rPr>
          <w:sz w:val="20"/>
        </w:rPr>
        <w:t xml:space="preserve">рост созданных в рамках федерального проекта "Профессионалитет" образовательно-производственных кластеров;</w:t>
      </w:r>
    </w:p>
    <w:p>
      <w:pPr>
        <w:pStyle w:val="0"/>
        <w:spacing w:before="200" w:lineRule="auto"/>
        <w:ind w:firstLine="540"/>
        <w:jc w:val="both"/>
      </w:pPr>
      <w:r>
        <w:rPr>
          <w:sz w:val="20"/>
        </w:rPr>
        <w:t xml:space="preserve">организация участия представителей предприятий Тульской области в Премии "Молодой промышленник года";</w:t>
      </w:r>
    </w:p>
    <w:p>
      <w:pPr>
        <w:pStyle w:val="0"/>
        <w:spacing w:before="200" w:lineRule="auto"/>
        <w:ind w:firstLine="540"/>
        <w:jc w:val="both"/>
      </w:pPr>
      <w:r>
        <w:rPr>
          <w:sz w:val="20"/>
        </w:rPr>
        <w:t xml:space="preserve">популяризация промышленности через средства массовой информации и информационно-телекоммуникационную сеть "Интернет";</w:t>
      </w:r>
    </w:p>
    <w:p>
      <w:pPr>
        <w:pStyle w:val="0"/>
        <w:spacing w:before="200" w:lineRule="auto"/>
        <w:ind w:firstLine="540"/>
        <w:jc w:val="both"/>
      </w:pPr>
      <w:r>
        <w:rPr>
          <w:sz w:val="20"/>
        </w:rPr>
        <w:t xml:space="preserve">увеличение предприятий, разместивших информацию о своей продукции в государственной информационной системе промышленности (далее - ГИС-Промышленность) (индекс каталогизации Тульской области);</w:t>
      </w:r>
    </w:p>
    <w:p>
      <w:pPr>
        <w:pStyle w:val="0"/>
        <w:spacing w:before="200" w:lineRule="auto"/>
        <w:ind w:firstLine="540"/>
        <w:jc w:val="both"/>
      </w:pPr>
      <w:r>
        <w:rPr>
          <w:sz w:val="20"/>
        </w:rPr>
        <w:t xml:space="preserve">повышение доли промышленных предприятий Тульской области, прошедших оценку уровня цифровой зрелости в ГИС-Промышленность;</w:t>
      </w:r>
    </w:p>
    <w:p>
      <w:pPr>
        <w:pStyle w:val="0"/>
        <w:spacing w:before="200" w:lineRule="auto"/>
        <w:ind w:firstLine="540"/>
        <w:jc w:val="both"/>
      </w:pPr>
      <w:r>
        <w:rPr>
          <w:sz w:val="20"/>
        </w:rPr>
        <w:t xml:space="preserve">увеличение количества крупных и средних промышленных предприятий Тульской области, участвующих в цифровой экосистеме национального проекта "Производительность труда".</w:t>
      </w:r>
    </w:p>
    <w:p>
      <w:pPr>
        <w:pStyle w:val="0"/>
        <w:spacing w:before="200" w:lineRule="auto"/>
        <w:ind w:firstLine="540"/>
        <w:jc w:val="both"/>
      </w:pPr>
      <w:r>
        <w:rPr>
          <w:sz w:val="20"/>
        </w:rPr>
        <w:t xml:space="preserve">С 1 января 2025 года в Тульской области мероприятия по повышению производительности труда реализуются в рамках регионального проекта "Производительность труда" в рамках национального проекта "Эффективная и конкурентная экономика".</w:t>
      </w:r>
    </w:p>
    <w:p>
      <w:pPr>
        <w:pStyle w:val="0"/>
        <w:spacing w:before="200" w:lineRule="auto"/>
        <w:ind w:firstLine="540"/>
        <w:jc w:val="both"/>
      </w:pPr>
      <w:r>
        <w:rPr>
          <w:sz w:val="20"/>
        </w:rPr>
        <w:t xml:space="preserve">Цель проекта - вовлечение к 2030 году не менее чем 40% средних и крупных предприятий базовых несырьевых отраслей экономики и 100% государственных и муниципальных организаций социальной сферы в реализацию проектов, направленных на повышение производительности труда.</w:t>
      </w:r>
    </w:p>
    <w:p>
      <w:pPr>
        <w:pStyle w:val="0"/>
        <w:spacing w:before="200" w:lineRule="auto"/>
        <w:ind w:firstLine="540"/>
        <w:jc w:val="both"/>
      </w:pPr>
      <w:r>
        <w:rPr>
          <w:sz w:val="20"/>
        </w:rPr>
        <w:t xml:space="preserve">В рамках регионального проекта "Разработка, стандартизация и серийное производство БАС (НПЦ) и комплектующих" запущен научно-производственный центр БАС "ТулаДрон" (далее - НПЦ БАС "Туладрон").</w:t>
      </w:r>
    </w:p>
    <w:p>
      <w:pPr>
        <w:pStyle w:val="0"/>
        <w:spacing w:before="200" w:lineRule="auto"/>
        <w:ind w:firstLine="540"/>
        <w:jc w:val="both"/>
      </w:pPr>
      <w:r>
        <w:rPr>
          <w:sz w:val="20"/>
        </w:rPr>
        <w:t xml:space="preserve">В регионе действует более 10 производителей БАС и компонентов, ежедневно выпускается более 2 тысяч изделий, ведется обучение операторов беспилотных авиационных систем. В результате создания и развития НПЦ БАС "ТулаДрон" в Тульской области будет создана технологическая инфраструктура, используемая для реализации мероприятий по разработке, испытанию, сертификации, производству и выводу на рынок беспилотных авиационных систем, обеспеченная зданиями, строениями, сооружениями общей площадью не менее 5000 кв. метров.</w:t>
      </w:r>
    </w:p>
    <w:p>
      <w:pPr>
        <w:pStyle w:val="0"/>
        <w:spacing w:before="200" w:lineRule="auto"/>
        <w:ind w:firstLine="540"/>
        <w:jc w:val="both"/>
      </w:pPr>
      <w:r>
        <w:rPr>
          <w:sz w:val="20"/>
        </w:rPr>
        <w:t xml:space="preserve">В ходе реализации регионального проекта "Цифровая трансформация промышленности" планируется ежегодное увеличение доли промышленных предприятий со сформированными цифровыми паспортами.</w:t>
      </w:r>
    </w:p>
    <w:p>
      <w:pPr>
        <w:pStyle w:val="0"/>
        <w:spacing w:before="200" w:lineRule="auto"/>
        <w:ind w:firstLine="540"/>
        <w:jc w:val="both"/>
      </w:pPr>
      <w:r>
        <w:rPr>
          <w:sz w:val="20"/>
        </w:rPr>
        <w:t xml:space="preserve">Высокая рыночная стоимость привлечения кредитов на инвестиционные цели обуславливает необходимость поиска новых возможностей привлечения альтернативных источников - средств институтов развития, венчурного финансирования, прямых иностранных инвестиций из дружественных стран, а также региональных мер финансовой поддержки промышленности.</w:t>
      </w:r>
    </w:p>
    <w:p>
      <w:pPr>
        <w:pStyle w:val="0"/>
        <w:spacing w:before="200" w:lineRule="auto"/>
        <w:ind w:firstLine="540"/>
        <w:jc w:val="both"/>
      </w:pPr>
      <w:r>
        <w:rPr>
          <w:sz w:val="20"/>
        </w:rPr>
        <w:t xml:space="preserve">Промышленные предприятия региона могут получить субсидии из бюджета Тульской области на возмещение части затрат, связанных с приобретением нового оборудования.</w:t>
      </w:r>
    </w:p>
    <w:p>
      <w:pPr>
        <w:pStyle w:val="0"/>
        <w:spacing w:before="200" w:lineRule="auto"/>
        <w:ind w:firstLine="540"/>
        <w:jc w:val="both"/>
      </w:pPr>
      <w:r>
        <w:rPr>
          <w:sz w:val="20"/>
        </w:rPr>
        <w:t xml:space="preserve">Важнейший инструментом реализации промышленной политики региона стал Фонд развития промышленности Тульской области (далее - ФРП ТО), действующий в регионе с 2016 года Фонд создан по инициативе Правительства Тульской области.</w:t>
      </w:r>
    </w:p>
    <w:p>
      <w:pPr>
        <w:pStyle w:val="0"/>
        <w:spacing w:before="200" w:lineRule="auto"/>
        <w:ind w:firstLine="540"/>
        <w:jc w:val="both"/>
      </w:pPr>
      <w:r>
        <w:rPr>
          <w:sz w:val="20"/>
        </w:rPr>
        <w:t xml:space="preserve">Основная задача ФРП ТО - поддержка промышленных предприятий, в том числе путем софинансирования инвестиционных проектов. ФРП ТО оказывает помощь промышленным предприятиям области в рамках взаимодействия с Фондом развития промышленности Российской Федерации по федеральным программам финансирования. Соглашение регионального и федерального фондов предусматривает выдачу совместных льготных займов на реализацию проектов развития предприятий промышленности.</w:t>
      </w:r>
    </w:p>
    <w:p>
      <w:pPr>
        <w:pStyle w:val="0"/>
        <w:spacing w:before="200" w:lineRule="auto"/>
        <w:ind w:firstLine="540"/>
        <w:jc w:val="both"/>
      </w:pPr>
      <w:r>
        <w:rPr>
          <w:sz w:val="20"/>
        </w:rPr>
        <w:t xml:space="preserve">С 2022 года на базе ФРП ТО действует Центр импортозамещения, который прорабатывает полученные заявки от региональных производителей с российскими площадками (в том числе Биржей импортозамещения, созданной на базе Государственной информационной системы промышленности), Российским экспортным центром, Агентством по технологическому развитию, торговыми представительствами в различных странах, зарубежными компаниями-партнерами. В рамках развития регионального импортозамещения сформирован сводный реестр производимой промышленной продукции с системой подбора аналогов по замещаемой импортной продукции.</w:t>
      </w:r>
    </w:p>
    <w:p>
      <w:pPr>
        <w:pStyle w:val="0"/>
        <w:spacing w:before="200" w:lineRule="auto"/>
        <w:ind w:firstLine="540"/>
        <w:jc w:val="both"/>
      </w:pPr>
      <w:r>
        <w:rPr>
          <w:sz w:val="20"/>
        </w:rPr>
        <w:t xml:space="preserve">Планируется расширение взаимодействия Центра импортозамещения с другими субъектами Российской Федерации, развитие электронной площадки Тульской области по поиску поставщиков, производителей и контрагентов, создание, в рамках цифровизации промышленности, единого окна подачи, приема и обработки заявок от предприятий. Планируется развивать следующие направления:</w:t>
      </w:r>
    </w:p>
    <w:p>
      <w:pPr>
        <w:pStyle w:val="0"/>
        <w:spacing w:before="200" w:lineRule="auto"/>
        <w:ind w:firstLine="540"/>
        <w:jc w:val="both"/>
      </w:pPr>
      <w:r>
        <w:rPr>
          <w:sz w:val="20"/>
        </w:rPr>
        <w:t xml:space="preserve">разработка и создание каталога технологий предприятий Тульской области;</w:t>
      </w:r>
    </w:p>
    <w:p>
      <w:pPr>
        <w:pStyle w:val="0"/>
        <w:spacing w:before="200" w:lineRule="auto"/>
        <w:ind w:firstLine="540"/>
        <w:jc w:val="both"/>
      </w:pPr>
      <w:r>
        <w:rPr>
          <w:sz w:val="20"/>
        </w:rPr>
        <w:t xml:space="preserve">увеличение числа исполнителей и производителей на поддержку проектов, предусматривающих разработку конструкторской документации на комплектующие изделия, необходимые для отраслей промышленности";</w:t>
      </w:r>
    </w:p>
    <w:p>
      <w:pPr>
        <w:pStyle w:val="0"/>
        <w:spacing w:before="200" w:lineRule="auto"/>
        <w:ind w:firstLine="540"/>
        <w:jc w:val="both"/>
      </w:pPr>
      <w:r>
        <w:rPr>
          <w:sz w:val="20"/>
        </w:rPr>
        <w:t xml:space="preserve">привлечение опыта и конструкторского потенциала оборонно-промышленных предприятий региона в реализации программ обратного инжиниринга.</w:t>
      </w:r>
    </w:p>
    <w:p>
      <w:pPr>
        <w:pStyle w:val="0"/>
        <w:spacing w:before="200" w:lineRule="auto"/>
        <w:ind w:firstLine="540"/>
        <w:jc w:val="both"/>
      </w:pPr>
      <w:r>
        <w:rPr>
          <w:sz w:val="20"/>
        </w:rPr>
        <w:t xml:space="preserve">Ключевые инвестиционные проекты, реализуемые в Тульской области:</w:t>
      </w:r>
    </w:p>
    <w:p>
      <w:pPr>
        <w:pStyle w:val="0"/>
        <w:spacing w:before="200" w:lineRule="auto"/>
        <w:ind w:firstLine="540"/>
        <w:jc w:val="both"/>
      </w:pPr>
      <w:r>
        <w:rPr>
          <w:sz w:val="20"/>
        </w:rPr>
        <w:t xml:space="preserve">группа компаний "Полипласт" планирует инвестировать 70 млрд. рублей в производство высокомолекулярных полимеров в городе Новомосковск, будет создано до 700 рабочих мест;</w:t>
      </w:r>
    </w:p>
    <w:p>
      <w:pPr>
        <w:pStyle w:val="0"/>
        <w:spacing w:before="200" w:lineRule="auto"/>
        <w:ind w:firstLine="540"/>
        <w:jc w:val="both"/>
      </w:pPr>
      <w:r>
        <w:rPr>
          <w:sz w:val="20"/>
        </w:rPr>
        <w:t xml:space="preserve">в индустриальном парке "Узловая" общество с ограниченной ответственностью "Хавейл Мотор Мануфэкчуринг Рус" планирует построить цех производства автокомпонентов и трансмиссий, объем инвестиций - до 50 млрд. рублей, будет создано 1000 рабочих мест;</w:t>
      </w:r>
    </w:p>
    <w:p>
      <w:pPr>
        <w:pStyle w:val="0"/>
        <w:spacing w:before="200" w:lineRule="auto"/>
        <w:ind w:firstLine="540"/>
        <w:jc w:val="both"/>
      </w:pPr>
      <w:r>
        <w:rPr>
          <w:sz w:val="20"/>
        </w:rPr>
        <w:t xml:space="preserve">группа "Черкизово" планирует до конца 2028 года завершить реализацию трех инвестиционных проектов на территории опережающего развития "Ефремов" в рамках создания крупнейшего в России мясоперерабатывающего кластера. Объем инвестиций превысит 40 млрд. рублей, будет создано более 3 тыс. рабочих мест;</w:t>
      </w:r>
    </w:p>
    <w:p>
      <w:pPr>
        <w:pStyle w:val="0"/>
        <w:spacing w:before="200" w:lineRule="auto"/>
        <w:ind w:firstLine="540"/>
        <w:jc w:val="both"/>
      </w:pPr>
      <w:r>
        <w:rPr>
          <w:sz w:val="20"/>
        </w:rPr>
        <w:t xml:space="preserve">акционерное общество "Управляющая компания ЭФКО" инвестирует в строительство 2-й очереди Тульского пищевого комбината, где планируют открыть линию по производству растительного масла. Общий объем инвестиций - 10 млрд. рублей, будет создано 600 рабочих мест;</w:t>
      </w:r>
    </w:p>
    <w:p>
      <w:pPr>
        <w:pStyle w:val="0"/>
        <w:spacing w:before="200" w:lineRule="auto"/>
        <w:ind w:firstLine="540"/>
        <w:jc w:val="both"/>
      </w:pPr>
      <w:r>
        <w:rPr>
          <w:sz w:val="20"/>
        </w:rPr>
        <w:t xml:space="preserve">общество с ограниченной ответственностью "НПО Промет" в особой экономической зоне "Узловая" строит завод по производству металлической мебели для медицины и промышленности и завод по производству сейфов и банковского оборудования. Общие инвестиции составят 7 млрд. рублей, будет создано 800 рабочих мест;</w:t>
      </w:r>
    </w:p>
    <w:p>
      <w:pPr>
        <w:pStyle w:val="0"/>
        <w:spacing w:before="200" w:lineRule="auto"/>
        <w:ind w:firstLine="540"/>
        <w:jc w:val="both"/>
      </w:pPr>
      <w:r>
        <w:rPr>
          <w:sz w:val="20"/>
        </w:rPr>
        <w:t xml:space="preserve">общество с ограниченной ответственностью "Халмек Литиум" в особой экономической зоне "Узловая" строит гидрометаллургический завод по производству соединений лития, который является ключевым компонентом при производстве аккумуляторов, инвестиции в проект 3,65 млрд. рублей, планируется создать 135 рабочих мест;</w:t>
      </w:r>
    </w:p>
    <w:p>
      <w:pPr>
        <w:pStyle w:val="0"/>
        <w:spacing w:before="200" w:lineRule="auto"/>
        <w:ind w:firstLine="540"/>
        <w:jc w:val="both"/>
      </w:pPr>
      <w:r>
        <w:rPr>
          <w:sz w:val="20"/>
        </w:rPr>
        <w:t xml:space="preserve">общество с ограниченной ответственностью "Яснополянская фабрика тары и упаковки" планирует строительство комплекса по производству промышленной тары и упаковки, инвестиции в проект - 1,93 млрд. рублей, будет создано 70 рабочих мест;</w:t>
      </w:r>
    </w:p>
    <w:p>
      <w:pPr>
        <w:pStyle w:val="0"/>
        <w:spacing w:before="200" w:lineRule="auto"/>
        <w:ind w:firstLine="540"/>
        <w:jc w:val="both"/>
      </w:pPr>
      <w:r>
        <w:rPr>
          <w:sz w:val="20"/>
        </w:rPr>
        <w:t xml:space="preserve">общество с ограниченной ответственностью "Энергомаш" вложит 1 млрд. рублей в расширение производства комплектующих для компрессоров, будет создано порядка 30 рабочих мест;</w:t>
      </w:r>
    </w:p>
    <w:p>
      <w:pPr>
        <w:pStyle w:val="0"/>
        <w:spacing w:before="200" w:lineRule="auto"/>
        <w:ind w:firstLine="540"/>
        <w:jc w:val="both"/>
      </w:pPr>
      <w:r>
        <w:rPr>
          <w:sz w:val="20"/>
        </w:rPr>
        <w:t xml:space="preserve">общество с ограниченной ответственностью "Инновационные технологии и материалы" инвестирует 6 млрд. рублей в производство малотоннажных химических компонентов и композиционных материалов на основе углеродного волокна, количество создаваемых рабочих мест - 120.</w:t>
      </w:r>
    </w:p>
    <w:p>
      <w:pPr>
        <w:pStyle w:val="0"/>
        <w:spacing w:before="200" w:lineRule="auto"/>
        <w:ind w:firstLine="540"/>
        <w:jc w:val="both"/>
      </w:pPr>
      <w:r>
        <w:rPr>
          <w:sz w:val="20"/>
        </w:rPr>
        <w:t xml:space="preserve">Реализация этих проектов позволит повысить технологический суверенитет критически важных отраслей региональной промышленности.</w:t>
      </w:r>
    </w:p>
    <w:p>
      <w:pPr>
        <w:pStyle w:val="0"/>
      </w:pPr>
      <w:r>
        <w:rPr>
          <w:sz w:val="20"/>
        </w:rPr>
      </w:r>
    </w:p>
    <w:p>
      <w:pPr>
        <w:pStyle w:val="2"/>
        <w:outlineLvl w:val="2"/>
        <w:jc w:val="center"/>
      </w:pPr>
      <w:r>
        <w:rPr>
          <w:sz w:val="20"/>
        </w:rPr>
        <w:t xml:space="preserve">5.2. Развитие агропромышленного комплекса Тульской области</w:t>
      </w:r>
    </w:p>
    <w:p>
      <w:pPr>
        <w:pStyle w:val="0"/>
      </w:pPr>
      <w:r>
        <w:rPr>
          <w:sz w:val="20"/>
        </w:rPr>
      </w:r>
    </w:p>
    <w:p>
      <w:pPr>
        <w:pStyle w:val="0"/>
        <w:ind w:firstLine="540"/>
        <w:jc w:val="both"/>
      </w:pPr>
      <w:r>
        <w:rPr>
          <w:sz w:val="20"/>
        </w:rPr>
        <w:t xml:space="preserve">Агропромышленный комплекс Тульской области включает в себя порядка 1000 сельскохозяйственных организаций и крестьянских (фермерских) хозяйств, более 160 предприятий пищевой и перерабатывающей промышленности, в которых трудятся около 30 тысяч человек.</w:t>
      </w:r>
    </w:p>
    <w:p>
      <w:pPr>
        <w:pStyle w:val="0"/>
        <w:spacing w:before="200" w:lineRule="auto"/>
        <w:ind w:firstLine="540"/>
        <w:jc w:val="both"/>
      </w:pPr>
      <w:r>
        <w:rPr>
          <w:sz w:val="20"/>
        </w:rPr>
        <w:t xml:space="preserve">Земли сельскохозяйственного назначения составляют 70% площади земель Тульской области. Посевная площадь сельскохозяйственных культур в хозяйствах всех категорий выросла в регионе с 806 тыс. га в 2016 году до 977,8 тыс. га в 2025 году (весенний сев).</w:t>
      </w:r>
    </w:p>
    <w:p>
      <w:pPr>
        <w:pStyle w:val="0"/>
        <w:spacing w:before="200" w:lineRule="auto"/>
        <w:ind w:firstLine="540"/>
        <w:jc w:val="both"/>
      </w:pPr>
      <w:r>
        <w:rPr>
          <w:sz w:val="20"/>
        </w:rPr>
        <w:t xml:space="preserve">С 2016 года объем производства продукции сельского хозяйства Тульской области быстро растет, в том числе за счет животноводства, где реализованы крупные инвестиционные проекты. В регионе работают современные и высокоэффективные животноводческие компании: общество с ограниченной ответственностью "Тульская мясная компания" (Группа компаний "Агроэко"), общество с ограниченной ответственностью "Племенное хозяйство "Лазаревское", общество с ограниченной ответственностью "Агропромышленный холдинг "Мираторг", акционерное общество Птицефабрика "Тульская", общество с ограниченной ответственностью "Воловский бройлер" и другие.</w:t>
      </w:r>
    </w:p>
    <w:p>
      <w:pPr>
        <w:pStyle w:val="0"/>
        <w:spacing w:before="200" w:lineRule="auto"/>
        <w:ind w:firstLine="540"/>
        <w:jc w:val="both"/>
      </w:pPr>
      <w:r>
        <w:rPr>
          <w:sz w:val="20"/>
        </w:rPr>
        <w:t xml:space="preserve">За период 2016 - 2025 годы средние темпы прироста продукции животноводства составили 5,9% против 3,6% по ЦФО и 1,6% по России. Производство мяса выросло в 2,5 раза, молока - на 19%.</w:t>
      </w:r>
    </w:p>
    <w:p>
      <w:pPr>
        <w:pStyle w:val="0"/>
        <w:spacing w:before="200" w:lineRule="auto"/>
        <w:ind w:firstLine="540"/>
        <w:jc w:val="both"/>
      </w:pPr>
      <w:r>
        <w:rPr>
          <w:sz w:val="20"/>
        </w:rPr>
        <w:t xml:space="preserve">В растениеводстве также зафиксированы положительные тенденции развития. Спрос на зерно и комбикорма вырос вследствие увеличения поголовья скота. С 2011 года валовые сборы зерна увеличились в 2,4 раза. Производство комбикормов с 2016 года выросло в 3 раза.</w:t>
      </w:r>
    </w:p>
    <w:p>
      <w:pPr>
        <w:pStyle w:val="0"/>
        <w:spacing w:before="200" w:lineRule="auto"/>
        <w:ind w:firstLine="540"/>
        <w:jc w:val="both"/>
      </w:pPr>
      <w:r>
        <w:rPr>
          <w:sz w:val="20"/>
        </w:rPr>
        <w:t xml:space="preserve">Производство масличных культур увеличилось почти в 4 раза (рапса - в 3,4 раза, сои - в 3,9 раза). В 2024 году завершено строительство маслоэкстракционного завода в городе Ефремов, производственные мощности которого обеспечиваются сырьем (масличными культурами) регионального производства.</w:t>
      </w:r>
    </w:p>
    <w:p>
      <w:pPr>
        <w:pStyle w:val="0"/>
        <w:spacing w:before="200" w:lineRule="auto"/>
        <w:ind w:firstLine="540"/>
        <w:jc w:val="both"/>
      </w:pPr>
      <w:r>
        <w:rPr>
          <w:sz w:val="20"/>
        </w:rPr>
        <w:t xml:space="preserve">Прирост валового сбора достигался как увеличением посевных площадей, так и ростом урожайности сельскохозяйственных культур. К примеру, по зерновым культурам и рапсу с 2016 года урожайность выросла в среднем на 35 - 40% (зерновые - до 45 ц/га, рапс - до 25 ц/га в хозяйства всех категорий в 2025 году).</w:t>
      </w:r>
    </w:p>
    <w:p>
      <w:pPr>
        <w:pStyle w:val="0"/>
        <w:spacing w:before="200" w:lineRule="auto"/>
        <w:ind w:firstLine="540"/>
        <w:jc w:val="both"/>
      </w:pPr>
      <w:r>
        <w:rPr>
          <w:sz w:val="20"/>
        </w:rPr>
        <w:t xml:space="preserve">Регион входит в топ-10 по России и ЦФО по ряду видов продукции растениеводства и животноводства, является крупным поставщиком свинины, мяса птицы, яйца, картофеля и растительных масел. В частности, примерно половина производимого мяса в области (105 от 220 тыс. тонн) реализуется за пределами области. По производству картофеля Тульская область на протяжении ряда лет занимает 2-е место в ЦФО и России, входит в число лидеров в стране по производству рапса. Также регион один из лидеров в России по объемам производства крахмалов и пшеничной клейковины.</w:t>
      </w:r>
    </w:p>
    <w:p>
      <w:pPr>
        <w:pStyle w:val="0"/>
        <w:spacing w:before="200" w:lineRule="auto"/>
        <w:ind w:firstLine="540"/>
        <w:jc w:val="both"/>
      </w:pPr>
      <w:r>
        <w:rPr>
          <w:sz w:val="20"/>
        </w:rPr>
        <w:t xml:space="preserve">Производство пищевых продуктов и напитков в совокупности формируют более 13% объема отгруженных товаров промышленности региона. Развито производство мяса, рыбы, молока и молочной продукции, муки, хлебобулочных, макаронных и кондитерских изделий, комбикормов, минеральной воды, слабоалкогольных напитков.</w:t>
      </w:r>
    </w:p>
    <w:p>
      <w:pPr>
        <w:pStyle w:val="0"/>
        <w:spacing w:before="200" w:lineRule="auto"/>
        <w:ind w:firstLine="540"/>
        <w:jc w:val="both"/>
      </w:pPr>
      <w:r>
        <w:rPr>
          <w:sz w:val="20"/>
        </w:rPr>
        <w:t xml:space="preserve">Важный фактор развития сельского хозяйства в регионе - стабильная государственная поддержка сектора, размер которой ежегодно составляет порядка 2,0 млрд. рублей. В 2023 году Тульская область первая в стране предоставила компенсацию затрат на дизельное топливо из регионального бюджета. Помимо прямой государственной поддержки действуют такие направления как льготное кредитование, товарное кредитование (Акционерное общество "Тульский аграрный центр"), авансирование предприятиями, займы кредитных кооперативов, региональный лизинг, программы агротехнологического образования. Кроме того, в регионе действуют особая экономическая зона "Узловая" и две территории опережающего развития вблизи городов Алексин и Ефремов, резидентами которых являются в том числе и предприятия агропромышленного комплекса.</w:t>
      </w:r>
    </w:p>
    <w:p>
      <w:pPr>
        <w:pStyle w:val="0"/>
        <w:spacing w:before="200" w:lineRule="auto"/>
        <w:ind w:firstLine="540"/>
        <w:jc w:val="both"/>
      </w:pPr>
      <w:r>
        <w:rPr>
          <w:sz w:val="20"/>
        </w:rPr>
        <w:t xml:space="preserve">Потенциал для развития в сельском хозяйстве Тульской области сохраняется. Этому способствуют:</w:t>
      </w:r>
    </w:p>
    <w:p>
      <w:pPr>
        <w:pStyle w:val="0"/>
        <w:spacing w:before="200" w:lineRule="auto"/>
        <w:ind w:firstLine="540"/>
        <w:jc w:val="both"/>
      </w:pPr>
      <w:r>
        <w:rPr>
          <w:sz w:val="20"/>
        </w:rPr>
        <w:t xml:space="preserve">выгодная логистика;</w:t>
      </w:r>
    </w:p>
    <w:p>
      <w:pPr>
        <w:pStyle w:val="0"/>
        <w:spacing w:before="200" w:lineRule="auto"/>
        <w:ind w:firstLine="540"/>
        <w:jc w:val="both"/>
      </w:pPr>
      <w:r>
        <w:rPr>
          <w:sz w:val="20"/>
        </w:rPr>
        <w:t xml:space="preserve">наличие земельных ресурсов, пригодных для ведения сельскохозяйственного производства, в условиях, когда в соседних регионах Черноземья площади неиспользуемых угодий почти исчерпаны;</w:t>
      </w:r>
    </w:p>
    <w:p>
      <w:pPr>
        <w:pStyle w:val="0"/>
        <w:spacing w:before="200" w:lineRule="auto"/>
        <w:ind w:firstLine="540"/>
        <w:jc w:val="both"/>
      </w:pPr>
      <w:r>
        <w:rPr>
          <w:sz w:val="20"/>
        </w:rPr>
        <w:t xml:space="preserve">наличие потенциала дальнейшего роста урожайности культур;</w:t>
      </w:r>
    </w:p>
    <w:p>
      <w:pPr>
        <w:pStyle w:val="0"/>
        <w:spacing w:before="200" w:lineRule="auto"/>
        <w:ind w:firstLine="540"/>
        <w:jc w:val="both"/>
      </w:pPr>
      <w:r>
        <w:rPr>
          <w:sz w:val="20"/>
        </w:rPr>
        <w:t xml:space="preserve">развитая кормовая база (собственное кормопроизводство, производство комбикормов).</w:t>
      </w:r>
    </w:p>
    <w:p>
      <w:pPr>
        <w:pStyle w:val="0"/>
        <w:spacing w:before="200" w:lineRule="auto"/>
        <w:ind w:firstLine="540"/>
        <w:jc w:val="both"/>
      </w:pPr>
      <w:r>
        <w:rPr>
          <w:sz w:val="20"/>
        </w:rPr>
        <w:t xml:space="preserve">Стратегическая цель агропромышленного комплекса Тульской области - закрепление отрасли на позициях одного из локомотивов роста региональной экономики.</w:t>
      </w:r>
    </w:p>
    <w:p>
      <w:pPr>
        <w:pStyle w:val="0"/>
        <w:spacing w:before="200" w:lineRule="auto"/>
        <w:ind w:firstLine="540"/>
        <w:jc w:val="both"/>
      </w:pPr>
      <w:r>
        <w:rPr>
          <w:sz w:val="20"/>
        </w:rPr>
        <w:t xml:space="preserve">Для достижения поставленной цели в агропромышленном комплексе Тульской области будут решаться следующие основные задачи:</w:t>
      </w:r>
    </w:p>
    <w:p>
      <w:pPr>
        <w:pStyle w:val="0"/>
        <w:spacing w:before="200" w:lineRule="auto"/>
        <w:ind w:firstLine="540"/>
        <w:jc w:val="both"/>
      </w:pPr>
      <w:r>
        <w:rPr>
          <w:sz w:val="20"/>
        </w:rPr>
        <w:t xml:space="preserve">оказание государственной поддержки аграрному сектору, поиск новых форм поддержки;</w:t>
      </w:r>
    </w:p>
    <w:p>
      <w:pPr>
        <w:pStyle w:val="0"/>
        <w:spacing w:before="200" w:lineRule="auto"/>
        <w:ind w:firstLine="540"/>
        <w:jc w:val="both"/>
      </w:pPr>
      <w:r>
        <w:rPr>
          <w:sz w:val="20"/>
        </w:rPr>
        <w:t xml:space="preserve">подготовка квалифицированных кадров для агропромышленного комплекса;</w:t>
      </w:r>
    </w:p>
    <w:p>
      <w:pPr>
        <w:pStyle w:val="0"/>
        <w:spacing w:before="200" w:lineRule="auto"/>
        <w:ind w:firstLine="540"/>
        <w:jc w:val="both"/>
      </w:pPr>
      <w:r>
        <w:rPr>
          <w:sz w:val="20"/>
        </w:rPr>
        <w:t xml:space="preserve">технологическая модернизация аграрной отрасли;</w:t>
      </w:r>
    </w:p>
    <w:p>
      <w:pPr>
        <w:pStyle w:val="0"/>
        <w:spacing w:before="200" w:lineRule="auto"/>
        <w:ind w:firstLine="540"/>
        <w:jc w:val="both"/>
      </w:pPr>
      <w:r>
        <w:rPr>
          <w:sz w:val="20"/>
        </w:rPr>
        <w:t xml:space="preserve">развитие аграрного экспорта;</w:t>
      </w:r>
    </w:p>
    <w:p>
      <w:pPr>
        <w:pStyle w:val="0"/>
        <w:spacing w:before="200" w:lineRule="auto"/>
        <w:ind w:firstLine="540"/>
        <w:jc w:val="both"/>
      </w:pPr>
      <w:r>
        <w:rPr>
          <w:sz w:val="20"/>
        </w:rPr>
        <w:t xml:space="preserve">поддержка малых форм хозяйствования на селе.</w:t>
      </w:r>
    </w:p>
    <w:p>
      <w:pPr>
        <w:pStyle w:val="0"/>
        <w:spacing w:before="200" w:lineRule="auto"/>
        <w:ind w:firstLine="540"/>
        <w:jc w:val="both"/>
      </w:pPr>
      <w:r>
        <w:rPr>
          <w:sz w:val="20"/>
        </w:rPr>
        <w:t xml:space="preserve">Задачи развития агропромышленного комплекса Тульской области планируется реализовать за счет выполнения следующих мероприятий:</w:t>
      </w:r>
    </w:p>
    <w:p>
      <w:pPr>
        <w:pStyle w:val="0"/>
        <w:spacing w:before="200" w:lineRule="auto"/>
        <w:ind w:firstLine="540"/>
        <w:jc w:val="both"/>
      </w:pPr>
      <w:r>
        <w:rPr>
          <w:sz w:val="20"/>
        </w:rPr>
        <w:t xml:space="preserve">предоставление мер государственной поддержки на субсидирование племенного животноводства, элитного семеноводства, производства молока и его переработки, плодово-ягодных насаждений, развития малых форм хозяйствования, агрострахования, производства картофеля и овощей, мелиорации земель;</w:t>
      </w:r>
    </w:p>
    <w:p>
      <w:pPr>
        <w:pStyle w:val="0"/>
        <w:spacing w:before="200" w:lineRule="auto"/>
        <w:ind w:firstLine="540"/>
        <w:jc w:val="both"/>
      </w:pPr>
      <w:r>
        <w:rPr>
          <w:sz w:val="20"/>
        </w:rPr>
        <w:t xml:space="preserve">создание агроклассов в школах для углубленного изучения дисциплин, связанных с сельским хозяйством;</w:t>
      </w:r>
    </w:p>
    <w:p>
      <w:pPr>
        <w:pStyle w:val="0"/>
        <w:spacing w:before="200" w:lineRule="auto"/>
        <w:ind w:firstLine="540"/>
        <w:jc w:val="both"/>
      </w:pPr>
      <w:r>
        <w:rPr>
          <w:sz w:val="20"/>
        </w:rPr>
        <w:t xml:space="preserve">развитие регионального образовательного кластера "Сельское хозяйство" на базе 5 образовательных организаций и более 20 предприятий агропромышленного комплекса;</w:t>
      </w:r>
    </w:p>
    <w:p>
      <w:pPr>
        <w:pStyle w:val="0"/>
        <w:spacing w:before="200" w:lineRule="auto"/>
        <w:ind w:firstLine="540"/>
        <w:jc w:val="both"/>
      </w:pPr>
      <w:r>
        <w:rPr>
          <w:sz w:val="20"/>
        </w:rPr>
        <w:t xml:space="preserve">укрепление партнерских связей с учебными заведениями высшего и среднего профессионального образования Тульской области;</w:t>
      </w:r>
    </w:p>
    <w:p>
      <w:pPr>
        <w:pStyle w:val="0"/>
        <w:spacing w:before="200" w:lineRule="auto"/>
        <w:ind w:firstLine="540"/>
        <w:jc w:val="both"/>
      </w:pPr>
      <w:r>
        <w:rPr>
          <w:sz w:val="20"/>
        </w:rPr>
        <w:t xml:space="preserve">развитие кластера в рамках федерального проекта "Профессионалитет" на базе государственного профессионального образовательного учреждения Тульской области "Тульский сельскохозяйственный колледж имени И.С. Ефанова" и государственного профессионального образовательного учреждения Тульской области "Сельскохозяйственный колледж "Богородицкий" имени И.А. Стебута";</w:t>
      </w:r>
    </w:p>
    <w:p>
      <w:pPr>
        <w:pStyle w:val="0"/>
        <w:spacing w:before="200" w:lineRule="auto"/>
        <w:ind w:firstLine="540"/>
        <w:jc w:val="both"/>
      </w:pPr>
      <w:r>
        <w:rPr>
          <w:sz w:val="20"/>
        </w:rPr>
        <w:t xml:space="preserve">регулярное проведение мероприятий по популяризации сельского хозяйства и презентации потенциальных работодателей в отрасли ("Неделя без турникетов", "Свидание с работодателем", "АгроПРОДвижение");</w:t>
      </w:r>
    </w:p>
    <w:p>
      <w:pPr>
        <w:pStyle w:val="0"/>
        <w:spacing w:before="200" w:lineRule="auto"/>
        <w:ind w:firstLine="540"/>
        <w:jc w:val="both"/>
      </w:pPr>
      <w:r>
        <w:rPr>
          <w:sz w:val="20"/>
        </w:rPr>
        <w:t xml:space="preserve">вовлечение в оборот земель сельскохозяйственного назначения путем проведения межевых и кадастровых работ, выявления невостребованных сельскохозяйственных земель;</w:t>
      </w:r>
    </w:p>
    <w:p>
      <w:pPr>
        <w:pStyle w:val="0"/>
        <w:spacing w:before="200" w:lineRule="auto"/>
        <w:ind w:firstLine="540"/>
        <w:jc w:val="both"/>
      </w:pPr>
      <w:r>
        <w:rPr>
          <w:sz w:val="20"/>
        </w:rPr>
        <w:t xml:space="preserve">создание региональных мер поддержки, направленных на увеличение экспортных поставок аграрной продукции (кредитование, субсидии на логистику и переработку);</w:t>
      </w:r>
    </w:p>
    <w:p>
      <w:pPr>
        <w:pStyle w:val="0"/>
        <w:spacing w:before="200" w:lineRule="auto"/>
        <w:ind w:firstLine="540"/>
        <w:jc w:val="both"/>
      </w:pPr>
      <w:r>
        <w:rPr>
          <w:sz w:val="20"/>
        </w:rPr>
        <w:t xml:space="preserve">стимулирование реализации инфраструктурных экспортно ориентированных проектов в сфере агропромышленного комплекса и логистики;</w:t>
      </w:r>
    </w:p>
    <w:p>
      <w:pPr>
        <w:pStyle w:val="0"/>
        <w:spacing w:before="200" w:lineRule="auto"/>
        <w:ind w:firstLine="540"/>
        <w:jc w:val="both"/>
      </w:pPr>
      <w:r>
        <w:rPr>
          <w:sz w:val="20"/>
        </w:rPr>
        <w:t xml:space="preserve">привлечение к экспортной деятельности компаний-производителей продукции агропромышленного комплекса;</w:t>
      </w:r>
    </w:p>
    <w:p>
      <w:pPr>
        <w:pStyle w:val="0"/>
        <w:spacing w:before="200" w:lineRule="auto"/>
        <w:ind w:firstLine="540"/>
        <w:jc w:val="both"/>
      </w:pPr>
      <w:r>
        <w:rPr>
          <w:sz w:val="20"/>
        </w:rPr>
        <w:t xml:space="preserve">привлечение инвестиций в отрасль.</w:t>
      </w:r>
    </w:p>
    <w:p>
      <w:pPr>
        <w:pStyle w:val="0"/>
        <w:spacing w:before="200" w:lineRule="auto"/>
        <w:ind w:firstLine="540"/>
        <w:jc w:val="both"/>
      </w:pPr>
      <w:r>
        <w:rPr>
          <w:sz w:val="20"/>
        </w:rPr>
        <w:t xml:space="preserve">В настоящее время на территории региона в разных стадиях реализации находятся более 25 проектов на сумму более 100 млрд. рублей с созданием порядка 7 тыс. рабочих мест. В период до 2030 года ожидается завершение следующих крупных инвестиционных проектов, осуществляемых частными инвесторами:</w:t>
      </w:r>
    </w:p>
    <w:p>
      <w:pPr>
        <w:pStyle w:val="0"/>
        <w:spacing w:before="200" w:lineRule="auto"/>
        <w:ind w:firstLine="540"/>
        <w:jc w:val="both"/>
      </w:pPr>
      <w:r>
        <w:rPr>
          <w:sz w:val="20"/>
        </w:rPr>
        <w:t xml:space="preserve">общество с ограниченной ответственностью "Черкизово-мясные продукты" - строительство завода по убою, первичной и последующей переработке свинины (муниципальное образование Ефремовский муниципальный округ Тульской области);</w:t>
      </w:r>
    </w:p>
    <w:p>
      <w:pPr>
        <w:pStyle w:val="0"/>
        <w:spacing w:before="200" w:lineRule="auto"/>
        <w:ind w:firstLine="540"/>
        <w:jc w:val="both"/>
      </w:pPr>
      <w:r>
        <w:rPr>
          <w:sz w:val="20"/>
        </w:rPr>
        <w:t xml:space="preserve">общество с ограниченной ответственностью "Куриное Царство Тула" - строительство завода по убою, первичной и последующей переработке бройлеров (муниципальное образование Ефремовский муниципальный округ Тульской области);</w:t>
      </w:r>
    </w:p>
    <w:p>
      <w:pPr>
        <w:pStyle w:val="0"/>
        <w:spacing w:before="200" w:lineRule="auto"/>
        <w:ind w:firstLine="540"/>
        <w:jc w:val="both"/>
      </w:pPr>
      <w:r>
        <w:rPr>
          <w:sz w:val="20"/>
        </w:rPr>
        <w:t xml:space="preserve">общество с ограниченной ответственностью "Юкка Парк" (Куркинский муниципальный округ Тульской области) - закладка садов суперинтенсивного типа и строительство плодохранилища;</w:t>
      </w:r>
    </w:p>
    <w:p>
      <w:pPr>
        <w:pStyle w:val="0"/>
        <w:spacing w:before="200" w:lineRule="auto"/>
        <w:ind w:firstLine="540"/>
        <w:jc w:val="both"/>
      </w:pPr>
      <w:r>
        <w:rPr>
          <w:sz w:val="20"/>
        </w:rPr>
        <w:t xml:space="preserve">общество с ограниченной ответственностью "Билагро" (Ясногорский муниципальный район Тульской области) - строительство оленеводческого комплекса замкнутого типа;</w:t>
      </w:r>
    </w:p>
    <w:p>
      <w:pPr>
        <w:pStyle w:val="0"/>
        <w:spacing w:before="200" w:lineRule="auto"/>
        <w:ind w:firstLine="540"/>
        <w:jc w:val="both"/>
      </w:pPr>
      <w:r>
        <w:rPr>
          <w:sz w:val="20"/>
        </w:rPr>
        <w:t xml:space="preserve">общество с ограниченной ответственностью "ЖАК" (городской округ город Новомосковск Тульской области) - создание животноводческого комплекса и обновление парка техники;</w:t>
      </w:r>
    </w:p>
    <w:p>
      <w:pPr>
        <w:pStyle w:val="0"/>
        <w:spacing w:before="200" w:lineRule="auto"/>
        <w:ind w:firstLine="540"/>
        <w:jc w:val="both"/>
      </w:pPr>
      <w:r>
        <w:rPr>
          <w:sz w:val="20"/>
        </w:rPr>
        <w:t xml:space="preserve">общество с ограниченной ответственностью "Тульский пищевой комбинат" (Особая экономическая зона промышленно-производственного типа "Узловая") - производство пищевых продуктов;</w:t>
      </w:r>
    </w:p>
    <w:p>
      <w:pPr>
        <w:pStyle w:val="0"/>
        <w:spacing w:before="200" w:lineRule="auto"/>
        <w:ind w:firstLine="540"/>
        <w:jc w:val="both"/>
      </w:pPr>
      <w:r>
        <w:rPr>
          <w:sz w:val="20"/>
        </w:rPr>
        <w:t xml:space="preserve">общество с ограниченной ответственностью "Фан Фан Бейкери" (Веневский муниципальный округ Тульской области) - производство замороженных полуфабрикатов хлебобулочных изделий;</w:t>
      </w:r>
    </w:p>
    <w:p>
      <w:pPr>
        <w:pStyle w:val="0"/>
        <w:spacing w:before="200" w:lineRule="auto"/>
        <w:ind w:firstLine="540"/>
        <w:jc w:val="both"/>
      </w:pPr>
      <w:r>
        <w:rPr>
          <w:sz w:val="20"/>
        </w:rPr>
        <w:t xml:space="preserve">общество с ограниченной ответственностью "Тульский завод растительных масел" (муниципальное образование Ефремовский муниципальный округ Тульской области) - переработка масличных культур (маслоэкстракция);</w:t>
      </w:r>
    </w:p>
    <w:p>
      <w:pPr>
        <w:pStyle w:val="0"/>
        <w:spacing w:before="200" w:lineRule="auto"/>
        <w:ind w:firstLine="540"/>
        <w:jc w:val="both"/>
      </w:pPr>
      <w:r>
        <w:rPr>
          <w:sz w:val="20"/>
        </w:rPr>
        <w:t xml:space="preserve">общество с ограниченной ответственностью "Агрофид Рус" подписано соглашение о строительстве в Ясногорском муниципальном районе Тульской области завода по производству кормов для сельскохозяйственных животных.</w:t>
      </w:r>
    </w:p>
    <w:p>
      <w:pPr>
        <w:pStyle w:val="0"/>
        <w:spacing w:before="200" w:lineRule="auto"/>
        <w:ind w:firstLine="540"/>
        <w:jc w:val="both"/>
      </w:pPr>
      <w:r>
        <w:rPr>
          <w:sz w:val="20"/>
        </w:rPr>
        <w:t xml:space="preserve">Реализация указанных мероприятий позволит эффективно использовать земли сельскохозяйственного назначения, будет являться дополнительным стимулом для увеличения объема продукции отрасли, положительно отразится на доходности местных бюджетов (за счет налогообложения объектов недвижимости).</w:t>
      </w:r>
    </w:p>
    <w:p>
      <w:pPr>
        <w:pStyle w:val="0"/>
      </w:pPr>
      <w:r>
        <w:rPr>
          <w:sz w:val="20"/>
        </w:rPr>
      </w:r>
    </w:p>
    <w:p>
      <w:pPr>
        <w:pStyle w:val="2"/>
        <w:outlineLvl w:val="2"/>
        <w:jc w:val="center"/>
      </w:pPr>
      <w:r>
        <w:rPr>
          <w:sz w:val="20"/>
        </w:rPr>
        <w:t xml:space="preserve">5.3. Развитие торговли</w:t>
      </w:r>
    </w:p>
    <w:p>
      <w:pPr>
        <w:pStyle w:val="0"/>
      </w:pPr>
      <w:r>
        <w:rPr>
          <w:sz w:val="20"/>
        </w:rPr>
      </w:r>
    </w:p>
    <w:p>
      <w:pPr>
        <w:pStyle w:val="0"/>
        <w:ind w:firstLine="540"/>
        <w:jc w:val="both"/>
      </w:pPr>
      <w:r>
        <w:rPr>
          <w:sz w:val="20"/>
        </w:rPr>
        <w:t xml:space="preserve">Торговля является важной составляющей экономики Тульской области, обеспечивая внутренний спрос и приток товаров и услуг. Розничная торговля представлена широким спектром торговых точек, включая крупные гипермаркеты, рынки, небольшие магазины и предприятия бытового обслуживания. Однако отраслевая структура торговой сети пока недостаточно сбалансирована, отмечается неравномерность размещения торговых объектов, проблемы с логистикой и организацией доставки товаров.</w:t>
      </w:r>
    </w:p>
    <w:p>
      <w:pPr>
        <w:pStyle w:val="0"/>
        <w:spacing w:before="200" w:lineRule="auto"/>
        <w:ind w:firstLine="540"/>
        <w:jc w:val="both"/>
      </w:pPr>
      <w:r>
        <w:rPr>
          <w:sz w:val="20"/>
        </w:rPr>
        <w:t xml:space="preserve">По данным Росстата оборот розничной торговли в Тульской области в 2024 году составил 527,3 млрд. рублей, что на 12,2% превышает показатель 2023 года.</w:t>
      </w:r>
    </w:p>
    <w:p>
      <w:pPr>
        <w:pStyle w:val="0"/>
        <w:spacing w:before="200" w:lineRule="auto"/>
        <w:ind w:firstLine="540"/>
        <w:jc w:val="both"/>
      </w:pPr>
      <w:r>
        <w:rPr>
          <w:sz w:val="20"/>
        </w:rPr>
        <w:t xml:space="preserve">Оптовая торговля развивается достаточно интенсивно, однако конкуренция на этом сегменте рынка высока, и мелкие предприниматели испытывают давление со стороны крупных поставщиков и дистрибьюторских сетей. Кроме того, имеются ограничения, связанные с транспортными коридорами и доступностью складских помещений.</w:t>
      </w:r>
    </w:p>
    <w:p>
      <w:pPr>
        <w:pStyle w:val="0"/>
        <w:spacing w:before="200" w:lineRule="auto"/>
        <w:ind w:firstLine="540"/>
        <w:jc w:val="both"/>
      </w:pPr>
      <w:r>
        <w:rPr>
          <w:sz w:val="20"/>
        </w:rPr>
        <w:t xml:space="preserve">Стратегическая цель развития оптовой и розничной торговли - обеспечение устойчивого роста товарооборота, создание современной, конкурентоспособной и эффективной системы оптовой и розничной торговли в Тульской области.</w:t>
      </w:r>
    </w:p>
    <w:p>
      <w:pPr>
        <w:pStyle w:val="0"/>
        <w:spacing w:before="200" w:lineRule="auto"/>
        <w:ind w:firstLine="540"/>
        <w:jc w:val="both"/>
      </w:pPr>
      <w:r>
        <w:rPr>
          <w:sz w:val="20"/>
        </w:rPr>
        <w:t xml:space="preserve">Достижению поставленной цели будет способствовать решение следующих основных задач:</w:t>
      </w:r>
    </w:p>
    <w:p>
      <w:pPr>
        <w:pStyle w:val="0"/>
        <w:spacing w:before="200" w:lineRule="auto"/>
        <w:ind w:firstLine="540"/>
        <w:jc w:val="both"/>
      </w:pPr>
      <w:r>
        <w:rPr>
          <w:sz w:val="20"/>
        </w:rPr>
        <w:t xml:space="preserve">оптимизация торговой инфраструктуры за счет создания современных магазинов, торгово-развлекательных центров, развития мелкорозничной торговли;</w:t>
      </w:r>
    </w:p>
    <w:p>
      <w:pPr>
        <w:pStyle w:val="0"/>
        <w:spacing w:before="200" w:lineRule="auto"/>
        <w:ind w:firstLine="540"/>
        <w:jc w:val="both"/>
      </w:pPr>
      <w:r>
        <w:rPr>
          <w:sz w:val="20"/>
        </w:rPr>
        <w:t xml:space="preserve">развитие логистики и снабжения за счет упрощения таможенных процедур, ускорения транспортировки грузов, повышения эффективности цепочки поставок;</w:t>
      </w:r>
    </w:p>
    <w:p>
      <w:pPr>
        <w:pStyle w:val="0"/>
        <w:spacing w:before="200" w:lineRule="auto"/>
        <w:ind w:firstLine="540"/>
        <w:jc w:val="both"/>
      </w:pPr>
      <w:r>
        <w:rPr>
          <w:sz w:val="20"/>
        </w:rPr>
        <w:t xml:space="preserve">расширение оптовой торговли за счет создания распределительных центров, формирования оптово-розничных сетей, увеличения складских площадей;</w:t>
      </w:r>
    </w:p>
    <w:p>
      <w:pPr>
        <w:pStyle w:val="0"/>
        <w:spacing w:before="200" w:lineRule="auto"/>
        <w:ind w:firstLine="540"/>
        <w:jc w:val="both"/>
      </w:pPr>
      <w:r>
        <w:rPr>
          <w:sz w:val="20"/>
        </w:rPr>
        <w:t xml:space="preserve">модернизация сельского рынка за счет создания сельскохозяйственных рынков, ярмарок, внедрения электронных платежных систем;</w:t>
      </w:r>
    </w:p>
    <w:p>
      <w:pPr>
        <w:pStyle w:val="0"/>
        <w:spacing w:before="200" w:lineRule="auto"/>
        <w:ind w:firstLine="540"/>
        <w:jc w:val="both"/>
      </w:pPr>
      <w:r>
        <w:rPr>
          <w:sz w:val="20"/>
        </w:rPr>
        <w:t xml:space="preserve">обеспечение малого и среднего предпринимательства финансовой и имущественной поддержкой, консультирование, разработка специализированных программ для малого торгового бизнеса;</w:t>
      </w:r>
    </w:p>
    <w:p>
      <w:pPr>
        <w:pStyle w:val="0"/>
        <w:spacing w:before="200" w:lineRule="auto"/>
        <w:ind w:firstLine="540"/>
        <w:jc w:val="both"/>
      </w:pPr>
      <w:r>
        <w:rPr>
          <w:sz w:val="20"/>
        </w:rPr>
        <w:t xml:space="preserve">формирование благоприятного инвестиционного климата путем привлечение инвестиций в торговлю, развития государственно-частного партнерства.</w:t>
      </w:r>
    </w:p>
    <w:p>
      <w:pPr>
        <w:pStyle w:val="0"/>
        <w:spacing w:before="200" w:lineRule="auto"/>
        <w:ind w:firstLine="540"/>
        <w:jc w:val="both"/>
      </w:pPr>
      <w:r>
        <w:rPr>
          <w:sz w:val="20"/>
        </w:rPr>
        <w:t xml:space="preserve">Выполнение указанных задач предполагает проведение следующих мероприятий:</w:t>
      </w:r>
    </w:p>
    <w:p>
      <w:pPr>
        <w:pStyle w:val="0"/>
        <w:spacing w:before="200" w:lineRule="auto"/>
        <w:ind w:firstLine="540"/>
        <w:jc w:val="both"/>
      </w:pPr>
      <w:r>
        <w:rPr>
          <w:sz w:val="20"/>
        </w:rPr>
        <w:t xml:space="preserve">обеспечение населения доступными и качественными товарами, сдерживание роста цен на продовольственные товары и увеличение доли присутствия местных товаров в торговых сетях;</w:t>
      </w:r>
    </w:p>
    <w:p>
      <w:pPr>
        <w:pStyle w:val="0"/>
        <w:spacing w:before="200" w:lineRule="auto"/>
        <w:ind w:firstLine="540"/>
        <w:jc w:val="both"/>
      </w:pPr>
      <w:r>
        <w:rPr>
          <w:sz w:val="20"/>
        </w:rPr>
        <w:t xml:space="preserve">развитие разноформатной торговли, расширение присутствия товаров региональных производителей в торговых сетях;</w:t>
      </w:r>
    </w:p>
    <w:p>
      <w:pPr>
        <w:pStyle w:val="0"/>
        <w:spacing w:before="200" w:lineRule="auto"/>
        <w:ind w:firstLine="540"/>
        <w:jc w:val="both"/>
      </w:pPr>
      <w:r>
        <w:rPr>
          <w:sz w:val="20"/>
        </w:rPr>
        <w:t xml:space="preserve">реализация проектов по расширению рынков сбыта фермерской продукции;</w:t>
      </w:r>
    </w:p>
    <w:p>
      <w:pPr>
        <w:pStyle w:val="0"/>
        <w:spacing w:before="200" w:lineRule="auto"/>
        <w:ind w:firstLine="540"/>
        <w:jc w:val="both"/>
      </w:pPr>
      <w:r>
        <w:rPr>
          <w:sz w:val="20"/>
        </w:rPr>
        <w:t xml:space="preserve">субсидирование организаций потребительской кооперации, а также хозяйственных обществ, одним из участников которых является потребительское общество, на возмещение части затрат на оплату коммунальных услуг, модернизацию инфраструктуры заготовительно-производственной деятельности, приобретение специализированного транспорта;</w:t>
      </w:r>
    </w:p>
    <w:p>
      <w:pPr>
        <w:pStyle w:val="0"/>
        <w:spacing w:before="200" w:lineRule="auto"/>
        <w:ind w:firstLine="540"/>
        <w:jc w:val="both"/>
      </w:pPr>
      <w:r>
        <w:rPr>
          <w:sz w:val="20"/>
        </w:rPr>
        <w:t xml:space="preserve">создание многофункциональных торговых центров, ярмарок выходного дня, сезонных маркетов, размещение стационарных павильонов в местах наибольшего скопления населения;</w:t>
      </w:r>
    </w:p>
    <w:p>
      <w:pPr>
        <w:pStyle w:val="0"/>
        <w:spacing w:before="200" w:lineRule="auto"/>
        <w:ind w:firstLine="540"/>
        <w:jc w:val="both"/>
      </w:pPr>
      <w:r>
        <w:rPr>
          <w:sz w:val="20"/>
        </w:rPr>
        <w:t xml:space="preserve">строительство распределительных центров, терминалов и складских комплексов, расположенных вблизи автомобильных магистралей и железнодорожных узлов, внедрение современных технологий сортировки и хранения товаров;</w:t>
      </w:r>
    </w:p>
    <w:p>
      <w:pPr>
        <w:pStyle w:val="0"/>
        <w:spacing w:before="200" w:lineRule="auto"/>
        <w:ind w:firstLine="540"/>
        <w:jc w:val="both"/>
      </w:pPr>
      <w:r>
        <w:rPr>
          <w:sz w:val="20"/>
        </w:rPr>
        <w:t xml:space="preserve">организация закупок продукции местных производителей, содействие экспорту продукции, создание маркировки и фирменного стиля для товаров Тульской области;</w:t>
      </w:r>
    </w:p>
    <w:p>
      <w:pPr>
        <w:pStyle w:val="0"/>
        <w:spacing w:before="200" w:lineRule="auto"/>
        <w:ind w:firstLine="540"/>
        <w:jc w:val="both"/>
      </w:pPr>
      <w:r>
        <w:rPr>
          <w:sz w:val="20"/>
        </w:rPr>
        <w:t xml:space="preserve">предоставление субсидий и грантов на старт и развитие бизнеса, кредитные линии и лизинговые схемы для покупки торгового оборудования и недвижимости;</w:t>
      </w:r>
    </w:p>
    <w:p>
      <w:pPr>
        <w:pStyle w:val="0"/>
        <w:spacing w:before="200" w:lineRule="auto"/>
        <w:ind w:firstLine="540"/>
        <w:jc w:val="both"/>
      </w:pPr>
      <w:r>
        <w:rPr>
          <w:sz w:val="20"/>
        </w:rPr>
        <w:t xml:space="preserve">организация семинаров, тренингов и практических курсов для владельцев торговых предприятий, предпринимателей и менеджеров по управлению ассортиментом и клиентским сервисом;</w:t>
      </w:r>
    </w:p>
    <w:p>
      <w:pPr>
        <w:pStyle w:val="0"/>
        <w:spacing w:before="200" w:lineRule="auto"/>
        <w:ind w:firstLine="540"/>
        <w:jc w:val="both"/>
      </w:pPr>
      <w:r>
        <w:rPr>
          <w:sz w:val="20"/>
        </w:rPr>
        <w:t xml:space="preserve">привлечение частных инвестиций в строительство торговых объектов, сотрудничество с крупными торговыми сетями и поставщиками;</w:t>
      </w:r>
    </w:p>
    <w:p>
      <w:pPr>
        <w:pStyle w:val="0"/>
        <w:spacing w:before="200" w:lineRule="auto"/>
        <w:ind w:firstLine="540"/>
        <w:jc w:val="both"/>
      </w:pPr>
      <w:r>
        <w:rPr>
          <w:sz w:val="20"/>
        </w:rPr>
        <w:t xml:space="preserve">внедрение современных кассовых аппаратов, онлайн-сервисов оплаты, систем электронного документооборота и CRM-систем для управления взаимоотношениями с клиентами.</w:t>
      </w:r>
    </w:p>
    <w:p>
      <w:pPr>
        <w:pStyle w:val="0"/>
      </w:pPr>
      <w:r>
        <w:rPr>
          <w:sz w:val="20"/>
        </w:rPr>
      </w:r>
    </w:p>
    <w:p>
      <w:pPr>
        <w:pStyle w:val="2"/>
        <w:outlineLvl w:val="2"/>
        <w:jc w:val="center"/>
      </w:pPr>
      <w:r>
        <w:rPr>
          <w:sz w:val="20"/>
        </w:rPr>
        <w:t xml:space="preserve">5.4. Развитие креативных (творческих) индустрий</w:t>
      </w:r>
    </w:p>
    <w:p>
      <w:pPr>
        <w:pStyle w:val="0"/>
      </w:pPr>
      <w:r>
        <w:rPr>
          <w:sz w:val="20"/>
        </w:rPr>
      </w:r>
    </w:p>
    <w:p>
      <w:pPr>
        <w:pStyle w:val="0"/>
        <w:ind w:firstLine="540"/>
        <w:jc w:val="both"/>
      </w:pPr>
      <w:r>
        <w:rPr>
          <w:sz w:val="20"/>
        </w:rPr>
        <w:t xml:space="preserve">Тульская область участвует во внедрении регионального стандарта развития креативных (творческих) индустрий, разработанного Агентством стратегических инициатив. Региональный фонд "Агентство развития туризма Тульской области" определен опорной организацией. В целях обеспечения межведомственного взаимодействия создан Штаб под руководством первого заместителя Губернатора Тульской области - председателя Правительства Тульской области. Решения региональных органов власти проходят валидацию региональной экспертной группой, сформированной из числа креативных предпринимателей региона.</w:t>
      </w:r>
    </w:p>
    <w:p>
      <w:pPr>
        <w:pStyle w:val="0"/>
        <w:spacing w:before="200" w:lineRule="auto"/>
        <w:ind w:firstLine="540"/>
        <w:jc w:val="both"/>
      </w:pPr>
      <w:r>
        <w:rPr>
          <w:sz w:val="20"/>
        </w:rPr>
        <w:t xml:space="preserve">Текущая задача развития - трансформация исторического кода в современную экономическую модель. Исторически Тула формировалась как центр мастерства: оружейного, пряничного, самоварного. И сегодня становление сектора креативных (творческих) индустрий обеспечивается за счет интеграции культурно-исторического наследия региона и современных форм предпринимательства.</w:t>
      </w:r>
    </w:p>
    <w:p>
      <w:pPr>
        <w:pStyle w:val="0"/>
        <w:spacing w:before="200" w:lineRule="auto"/>
        <w:ind w:firstLine="540"/>
        <w:jc w:val="both"/>
      </w:pPr>
      <w:r>
        <w:rPr>
          <w:sz w:val="20"/>
        </w:rPr>
        <w:t xml:space="preserve">Тульская область располагает важным для всей страны символическим капиталом ("оружейная столица", Куликово Поле - первое ратное поле России, Ясная Поляна - родина Льва Толстого, пряничные и самоварные традиции), развитой сетью культурных учреждений и растущим спросом на событийные форматы и локальные бренды. Фактически тульский регион обладает сильной опорной базой региональных брендов, которые представляют собой сплав традиций и инноваций. Тульский пряник, Белевская пастила и микрофоны "Октава" имеют мировую известность. Параллельно формируется новая волна: локальные бренды одежды ("Аристократия", "Бумеранги"), ИТ-компании.</w:t>
      </w:r>
    </w:p>
    <w:p>
      <w:pPr>
        <w:pStyle w:val="0"/>
        <w:spacing w:before="200" w:lineRule="auto"/>
        <w:ind w:firstLine="540"/>
        <w:jc w:val="both"/>
      </w:pPr>
      <w:r>
        <w:rPr>
          <w:sz w:val="20"/>
        </w:rPr>
        <w:t xml:space="preserve">В активе региона - точки роста: творческий индустриальный кластер "Октава", городское пространство "Искра", ревитализированный Музейный квартал, ремесленный двор "Добродей". В городах области наблюдается появление разноформатных креативных пространств, формируется кооперация реального сектора экономики с образовательными организациями высшего и среднего образования в сфере дизайна, ИТ и индустрии гостеприимства. Подготовка кадрового резерва ведется на базе Школы креативных индустрий, профильных образовательных организаций высшего и среднего образования. Отдельное внимание уделяется интеграции участников специальной военной операции в творческие профессии.</w:t>
      </w:r>
    </w:p>
    <w:p>
      <w:pPr>
        <w:pStyle w:val="0"/>
        <w:spacing w:before="200" w:lineRule="auto"/>
        <w:ind w:firstLine="540"/>
        <w:jc w:val="both"/>
      </w:pPr>
      <w:r>
        <w:rPr>
          <w:sz w:val="20"/>
        </w:rPr>
        <w:t xml:space="preserve">Драйвером развития региона как туристической дестинации выступает событийный календарь: фестивали "Дикая мята", "Толстой", "День пряника" генерируют поток в десятки тысяч гостей и формируют имидж региона как культурной столицы.</w:t>
      </w:r>
    </w:p>
    <w:p>
      <w:pPr>
        <w:pStyle w:val="0"/>
        <w:spacing w:before="200" w:lineRule="auto"/>
        <w:ind w:firstLine="540"/>
        <w:jc w:val="both"/>
      </w:pPr>
      <w:r>
        <w:rPr>
          <w:sz w:val="20"/>
        </w:rPr>
        <w:t xml:space="preserve">Вклад сектора в ВРП по итогам 2023 года составил 2,3% - 26 млрд. рублей и 5-е место в ЦФО. В секторе занято около 20 тысяч человек.</w:t>
      </w:r>
    </w:p>
    <w:p>
      <w:pPr>
        <w:pStyle w:val="0"/>
        <w:spacing w:before="200" w:lineRule="auto"/>
        <w:ind w:firstLine="540"/>
        <w:jc w:val="both"/>
      </w:pPr>
      <w:r>
        <w:rPr>
          <w:sz w:val="20"/>
        </w:rPr>
        <w:t xml:space="preserve">Стратегическая цель - сформировать устойчивую экосистему креативных (творческих) индустрий Тульской области, превратив ее в драйвер экономического роста, занятости и развития территорий, усиливающий туристическую привлекательность и региональную идентичность на основе поддержки талантов, инфраструктуры и экспорта креативных продуктов.</w:t>
      </w:r>
    </w:p>
    <w:p>
      <w:pPr>
        <w:pStyle w:val="0"/>
        <w:spacing w:before="200" w:lineRule="auto"/>
        <w:ind w:firstLine="540"/>
        <w:jc w:val="both"/>
      </w:pPr>
      <w:r>
        <w:rPr>
          <w:sz w:val="20"/>
        </w:rPr>
        <w:t xml:space="preserve">Достижение национальной цели на региональном уровне в сфере креативных (творческих) индустрий будет обеспечено за счет увеличения доли креативных (творческих) индустрий в экономике.</w:t>
      </w:r>
    </w:p>
    <w:p>
      <w:pPr>
        <w:pStyle w:val="0"/>
        <w:spacing w:before="200" w:lineRule="auto"/>
        <w:ind w:firstLine="540"/>
        <w:jc w:val="both"/>
      </w:pPr>
      <w:r>
        <w:rPr>
          <w:sz w:val="20"/>
        </w:rPr>
        <w:t xml:space="preserve">Основные задачи в сфере развития креативных (творческих) индустрий в Тульской области:</w:t>
      </w:r>
    </w:p>
    <w:p>
      <w:pPr>
        <w:pStyle w:val="0"/>
        <w:spacing w:before="200" w:lineRule="auto"/>
        <w:ind w:firstLine="540"/>
        <w:jc w:val="both"/>
      </w:pPr>
      <w:r>
        <w:rPr>
          <w:sz w:val="20"/>
        </w:rPr>
        <w:t xml:space="preserve">создание и развитие в Туле и других городах региона креативной инфраструктуры, включая кластеры, мастерские, медиацентры, площадки для мероприятий и выставочной деятельности, в том числе с возможностью ревитализации промышленных территорий под креативные функции;</w:t>
      </w:r>
    </w:p>
    <w:p>
      <w:pPr>
        <w:pStyle w:val="0"/>
        <w:spacing w:before="200" w:lineRule="auto"/>
        <w:ind w:firstLine="540"/>
        <w:jc w:val="both"/>
      </w:pPr>
      <w:r>
        <w:rPr>
          <w:sz w:val="20"/>
        </w:rPr>
        <w:t xml:space="preserve">реализация комплекса мер по сокращению теневого сектора рынка креативных (творческих) индустрий Тульской области;</w:t>
      </w:r>
    </w:p>
    <w:p>
      <w:pPr>
        <w:pStyle w:val="0"/>
        <w:spacing w:before="200" w:lineRule="auto"/>
        <w:ind w:firstLine="540"/>
        <w:jc w:val="both"/>
      </w:pPr>
      <w:r>
        <w:rPr>
          <w:sz w:val="20"/>
        </w:rPr>
        <w:t xml:space="preserve">формирование набора финансовых и нефинансовых инструментов поддержки, включая акселераторы, коворкинги, целенаправленную работу по привлечению грантового финансирования субъектами креативных (творческих) индустрий при методической поддержке региональных органов власти;</w:t>
      </w:r>
    </w:p>
    <w:p>
      <w:pPr>
        <w:pStyle w:val="0"/>
        <w:spacing w:before="200" w:lineRule="auto"/>
        <w:ind w:firstLine="540"/>
        <w:jc w:val="both"/>
      </w:pPr>
      <w:r>
        <w:rPr>
          <w:sz w:val="20"/>
        </w:rPr>
        <w:t xml:space="preserve">развитие человеческого капитала, включая образовательные модули совместно с образовательными организациями высшего и среднего образования, проектные школы, наставничество, продвижение творческих профессий, с особым вниманием к вопросам защиты и монетизации интеллектуальной собственности;</w:t>
      </w:r>
    </w:p>
    <w:p>
      <w:pPr>
        <w:pStyle w:val="0"/>
        <w:spacing w:before="200" w:lineRule="auto"/>
        <w:ind w:firstLine="540"/>
        <w:jc w:val="both"/>
      </w:pPr>
      <w:r>
        <w:rPr>
          <w:sz w:val="20"/>
        </w:rPr>
        <w:t xml:space="preserve">интеграция креативных (творческих) индустрий с туризмом и городской средой: разработка событийного календаря, кросс-маркетинг, включение креативных проектов в маршруты и общественные пространства;</w:t>
      </w:r>
    </w:p>
    <w:p>
      <w:pPr>
        <w:pStyle w:val="0"/>
        <w:spacing w:before="200" w:lineRule="auto"/>
        <w:ind w:firstLine="540"/>
        <w:jc w:val="both"/>
      </w:pPr>
      <w:r>
        <w:rPr>
          <w:sz w:val="20"/>
        </w:rPr>
        <w:t xml:space="preserve">привлечение партнеров из числа корпораций в целях превращения Тулы в хаб для федеральных креативных проектов;</w:t>
      </w:r>
    </w:p>
    <w:p>
      <w:pPr>
        <w:pStyle w:val="0"/>
        <w:spacing w:before="200" w:lineRule="auto"/>
        <w:ind w:firstLine="540"/>
        <w:jc w:val="both"/>
      </w:pPr>
      <w:r>
        <w:rPr>
          <w:sz w:val="20"/>
        </w:rPr>
        <w:t xml:space="preserve">поддержка экспорта и цифровой дистрибуции, в том числе участие в федеральных и международных ярмарках, маркетплейсы, сервисы продвижения и продаж, юридическое сопровождение и защита интеллектуальной собственности;</w:t>
      </w:r>
    </w:p>
    <w:p>
      <w:pPr>
        <w:pStyle w:val="0"/>
        <w:spacing w:before="200" w:lineRule="auto"/>
        <w:ind w:firstLine="540"/>
        <w:jc w:val="both"/>
      </w:pPr>
      <w:r>
        <w:rPr>
          <w:sz w:val="20"/>
        </w:rPr>
        <w:t xml:space="preserve">создание системы данных и мониторинга сектора: картирование, регулярная статистика занятости, выручки, экспорта и аудит инфраструктурных потребностей;</w:t>
      </w:r>
    </w:p>
    <w:p>
      <w:pPr>
        <w:pStyle w:val="0"/>
        <w:spacing w:before="200" w:lineRule="auto"/>
        <w:ind w:firstLine="540"/>
        <w:jc w:val="both"/>
      </w:pPr>
      <w:r>
        <w:rPr>
          <w:sz w:val="20"/>
        </w:rPr>
        <w:t xml:space="preserve">увеличение доли креативных (творческих) индустрий в экономике Тульской области.</w:t>
      </w:r>
    </w:p>
    <w:p>
      <w:pPr>
        <w:pStyle w:val="0"/>
        <w:spacing w:before="200" w:lineRule="auto"/>
        <w:ind w:firstLine="540"/>
        <w:jc w:val="both"/>
      </w:pPr>
      <w:r>
        <w:rPr>
          <w:sz w:val="20"/>
        </w:rPr>
        <w:t xml:space="preserve">Основные меры, направленные на развитие креативных (творческих) индустрий в Тульской области:</w:t>
      </w:r>
    </w:p>
    <w:p>
      <w:pPr>
        <w:pStyle w:val="0"/>
        <w:spacing w:before="200" w:lineRule="auto"/>
        <w:ind w:firstLine="540"/>
        <w:jc w:val="both"/>
      </w:pPr>
      <w:r>
        <w:rPr>
          <w:sz w:val="20"/>
        </w:rPr>
        <w:t xml:space="preserve">реализация направлений Концепции развития креативных (творческих) индустрий и механизмов осуществления их государственной поддержки в крупных и крупнейших городских агломерациях;</w:t>
      </w:r>
    </w:p>
    <w:p>
      <w:pPr>
        <w:pStyle w:val="0"/>
        <w:spacing w:before="200" w:lineRule="auto"/>
        <w:ind w:firstLine="540"/>
        <w:jc w:val="both"/>
      </w:pPr>
      <w:r>
        <w:rPr>
          <w:sz w:val="20"/>
        </w:rPr>
        <w:t xml:space="preserve">организация креативного технопарка полного цикла, обеспечивающего синергию ИТ и дизайна, наличие офисов, образовательных площадок и шоу-румов;</w:t>
      </w:r>
    </w:p>
    <w:p>
      <w:pPr>
        <w:pStyle w:val="0"/>
        <w:spacing w:before="200" w:lineRule="auto"/>
        <w:ind w:firstLine="540"/>
        <w:jc w:val="both"/>
      </w:pPr>
      <w:r>
        <w:rPr>
          <w:sz w:val="20"/>
        </w:rPr>
        <w:t xml:space="preserve">создание сети мастерских, медиалабораторий и площадок для резиденций;</w:t>
      </w:r>
    </w:p>
    <w:p>
      <w:pPr>
        <w:pStyle w:val="0"/>
        <w:spacing w:before="200" w:lineRule="auto"/>
        <w:ind w:firstLine="540"/>
        <w:jc w:val="both"/>
      </w:pPr>
      <w:r>
        <w:rPr>
          <w:sz w:val="20"/>
        </w:rPr>
        <w:t xml:space="preserve">запуск Региональной цифровой платформы, позволяющей крупному бизнесу размещать заказы для верифицированных креаторов, - основы формирования новых кооперационных цепочек;</w:t>
      </w:r>
    </w:p>
    <w:p>
      <w:pPr>
        <w:pStyle w:val="0"/>
        <w:spacing w:before="200" w:lineRule="auto"/>
        <w:ind w:firstLine="540"/>
        <w:jc w:val="both"/>
      </w:pPr>
      <w:r>
        <w:rPr>
          <w:sz w:val="20"/>
        </w:rPr>
        <w:t xml:space="preserve">формирование и внедрение единого дизайн-кода Тульской области, что повысит капитализацию недвижимости и привлечет туристов и инвесторов в малые города;</w:t>
      </w:r>
    </w:p>
    <w:p>
      <w:pPr>
        <w:pStyle w:val="0"/>
        <w:spacing w:before="200" w:lineRule="auto"/>
        <w:ind w:firstLine="540"/>
        <w:jc w:val="both"/>
      </w:pPr>
      <w:r>
        <w:rPr>
          <w:sz w:val="20"/>
        </w:rPr>
        <w:t xml:space="preserve">введение грантовых конкурсов и микрофинансовых инструментов для ранних стадий, акселерационных программ и арт-резиденций;</w:t>
      </w:r>
    </w:p>
    <w:p>
      <w:pPr>
        <w:pStyle w:val="0"/>
        <w:spacing w:before="200" w:lineRule="auto"/>
        <w:ind w:firstLine="540"/>
        <w:jc w:val="both"/>
      </w:pPr>
      <w:r>
        <w:rPr>
          <w:sz w:val="20"/>
        </w:rPr>
        <w:t xml:space="preserve">разработка событийного каркаса под зонтичным брендом "Креативные сезоны в Туле": синхронизация треков с приоритетными креативными индустриями Тульской области - гастрономия, мода, урбанистика, наследие;</w:t>
      </w:r>
    </w:p>
    <w:p>
      <w:pPr>
        <w:pStyle w:val="0"/>
        <w:spacing w:before="200" w:lineRule="auto"/>
        <w:ind w:firstLine="540"/>
        <w:jc w:val="both"/>
      </w:pPr>
      <w:r>
        <w:rPr>
          <w:sz w:val="20"/>
        </w:rPr>
        <w:t xml:space="preserve">разработка событийного календаря, интеграция креативных проектов туристские маршруты и общественные пространства, поддержка фестивалей и ярмарок, развитие сувенирной продукции и локальных брендов;</w:t>
      </w:r>
    </w:p>
    <w:p>
      <w:pPr>
        <w:pStyle w:val="0"/>
        <w:spacing w:before="200" w:lineRule="auto"/>
        <w:ind w:firstLine="540"/>
        <w:jc w:val="both"/>
      </w:pPr>
      <w:r>
        <w:rPr>
          <w:sz w:val="20"/>
        </w:rPr>
        <w:t xml:space="preserve">реализация образовательных программ совместно с образовательными организациями высшего и среднего образования (дизайн, архитектура, продюсирование, менеджмент креативных проектов, цифровой контент), развитие наставничества и межкластерной кооперации с промышленными предприятиями;</w:t>
      </w:r>
    </w:p>
    <w:p>
      <w:pPr>
        <w:pStyle w:val="0"/>
        <w:spacing w:before="200" w:lineRule="auto"/>
        <w:ind w:firstLine="540"/>
        <w:jc w:val="both"/>
      </w:pPr>
      <w:r>
        <w:rPr>
          <w:sz w:val="20"/>
        </w:rPr>
        <w:t xml:space="preserve">формирование системы продвижения на цифровых площадках и экспортной поддержки (витрины, маркетплейсы, роуд-шоу, участие в выставках), развитие партнерств с туриндустрией и культурными институциями, расширение сотрудничества с креативными кластерами Москвы и других регионов России.</w:t>
      </w:r>
    </w:p>
    <w:p>
      <w:pPr>
        <w:pStyle w:val="0"/>
      </w:pPr>
      <w:r>
        <w:rPr>
          <w:sz w:val="20"/>
        </w:rPr>
      </w:r>
    </w:p>
    <w:p>
      <w:pPr>
        <w:pStyle w:val="2"/>
        <w:outlineLvl w:val="2"/>
        <w:jc w:val="center"/>
      </w:pPr>
      <w:r>
        <w:rPr>
          <w:sz w:val="20"/>
        </w:rPr>
        <w:t xml:space="preserve">5.5. Развитие туризма и индустрии гостеприимства</w:t>
      </w:r>
    </w:p>
    <w:p>
      <w:pPr>
        <w:pStyle w:val="0"/>
      </w:pPr>
      <w:r>
        <w:rPr>
          <w:sz w:val="20"/>
        </w:rPr>
      </w:r>
    </w:p>
    <w:p>
      <w:pPr>
        <w:pStyle w:val="0"/>
        <w:ind w:firstLine="540"/>
        <w:jc w:val="both"/>
      </w:pPr>
      <w:r>
        <w:rPr>
          <w:sz w:val="20"/>
        </w:rPr>
        <w:t xml:space="preserve">Расположение Тульской области недалеко от московской агломерации, с которой область связана магистральными автомобильными дорогами М-2 "Крым" и М-4 "Дон" и двумя железнодорожными линиями - благоприятствует развитию внутреннего и въездного туризма. Климатические условия Тульской области также благоприятны для развития туризма и отдыха.</w:t>
      </w:r>
    </w:p>
    <w:p>
      <w:pPr>
        <w:pStyle w:val="0"/>
        <w:spacing w:before="200" w:lineRule="auto"/>
        <w:ind w:firstLine="540"/>
        <w:jc w:val="both"/>
      </w:pPr>
      <w:r>
        <w:rPr>
          <w:sz w:val="20"/>
        </w:rPr>
        <w:t xml:space="preserve">В Тульской области находится свыше 3700 памятников истории и культуры, многие из них носят уникальный характер, центры притяжения интересны различным потребительским сегментам туристов. Туристский поток в течение последних лет характеризуется стабильным ростом: если в 2014 году он составлял примерно 0,5 млн. человек, то в 2022 году превысил 1,5 млн. человек. В коллективных средствах размещения (КСР) в 2024 году размещено около 650 тыс. туристов.</w:t>
      </w:r>
    </w:p>
    <w:p>
      <w:pPr>
        <w:pStyle w:val="0"/>
        <w:spacing w:before="200" w:lineRule="auto"/>
        <w:ind w:firstLine="540"/>
        <w:jc w:val="both"/>
      </w:pPr>
      <w:r>
        <w:rPr>
          <w:sz w:val="20"/>
        </w:rPr>
        <w:t xml:space="preserve">Растет и общий объем услуг, оказанных индустрией гостеприимства - в 2024 году он составил 6,2 млрд. рублей и вырос в 1,6 раза по отношению к 2022 году.</w:t>
      </w:r>
    </w:p>
    <w:p>
      <w:pPr>
        <w:pStyle w:val="0"/>
        <w:spacing w:before="200" w:lineRule="auto"/>
        <w:ind w:firstLine="540"/>
        <w:jc w:val="both"/>
      </w:pPr>
      <w:r>
        <w:rPr>
          <w:sz w:val="20"/>
        </w:rPr>
        <w:t xml:space="preserve">Среди регионов-лидеров по объему туристского потока в регион находятся Москва, Московская область, Калуга и Санкт-Петербург в силу наличия прямого транспортного сообщения.</w:t>
      </w:r>
    </w:p>
    <w:p>
      <w:pPr>
        <w:pStyle w:val="0"/>
        <w:spacing w:before="200" w:lineRule="auto"/>
        <w:ind w:firstLine="540"/>
        <w:jc w:val="both"/>
      </w:pPr>
      <w:r>
        <w:rPr>
          <w:sz w:val="20"/>
        </w:rPr>
        <w:t xml:space="preserve">Туристско-рекреационный кластер "Тульский" включает город Тулу и Щекинский район. Ключевыми точками притяжения являются два федеральных музея - Тульский государственный музей оружия и музей-усадьба Л.Н. Толстого "Ясная Поляна".</w:t>
      </w:r>
    </w:p>
    <w:p>
      <w:pPr>
        <w:pStyle w:val="0"/>
        <w:spacing w:before="200" w:lineRule="auto"/>
        <w:ind w:firstLine="540"/>
        <w:jc w:val="both"/>
      </w:pPr>
      <w:r>
        <w:rPr>
          <w:sz w:val="20"/>
        </w:rPr>
        <w:t xml:space="preserve">Также кластер привлекателен для туристов яркими событийными мероприятиями: фестивали "Толстой", "Музейное лето", "Кремлевская опера".</w:t>
      </w:r>
    </w:p>
    <w:p>
      <w:pPr>
        <w:pStyle w:val="0"/>
        <w:spacing w:before="200" w:lineRule="auto"/>
        <w:ind w:firstLine="540"/>
        <w:jc w:val="both"/>
      </w:pPr>
      <w:r>
        <w:rPr>
          <w:sz w:val="20"/>
        </w:rPr>
        <w:t xml:space="preserve">Рост туристической привлекательности региона связан с восстановлением исторического центра Тулы. Воссоздание Казанской набережной и улицы Металлистов, формирование уникального Музейного квартала, а также создание креативных кластеров "Октава" и "Искра" способствовали развитию туристской сферы.</w:t>
      </w:r>
    </w:p>
    <w:p>
      <w:pPr>
        <w:pStyle w:val="0"/>
        <w:spacing w:before="200" w:lineRule="auto"/>
        <w:ind w:firstLine="540"/>
        <w:jc w:val="both"/>
      </w:pPr>
      <w:r>
        <w:rPr>
          <w:sz w:val="20"/>
        </w:rPr>
        <w:t xml:space="preserve">В Музейном квартале в историческом центре Тулы действует единственный в России филиал Государственного исторического музея, планируется открытие филиалов: Театрального музея имени А.А. Бахрушина, Политехнического музея и Музея древнерусской культуры и искусства имени Андрея Рублева.</w:t>
      </w:r>
    </w:p>
    <w:p>
      <w:pPr>
        <w:pStyle w:val="0"/>
        <w:spacing w:before="200" w:lineRule="auto"/>
        <w:ind w:firstLine="540"/>
        <w:jc w:val="both"/>
      </w:pPr>
      <w:r>
        <w:rPr>
          <w:sz w:val="20"/>
        </w:rPr>
        <w:t xml:space="preserve">Туристско-рекреационный кластер "Окский" с центром в городе Алексине образован путем объединения туристских ресурсов Заокского, Алексинского и Ясногорского районов. Находится в экологически чистой природной зоне с уникальными памятниками природы. На территории кластера активно развивается рекреационный туризм и прорабатываются тематические инвестиционные проекты по организации загородных отелей.</w:t>
      </w:r>
    </w:p>
    <w:p>
      <w:pPr>
        <w:pStyle w:val="0"/>
        <w:spacing w:before="200" w:lineRule="auto"/>
        <w:ind w:firstLine="540"/>
        <w:jc w:val="both"/>
      </w:pPr>
      <w:r>
        <w:rPr>
          <w:sz w:val="20"/>
        </w:rPr>
        <w:t xml:space="preserve">В состав кластера входят порядка 30 объектов показа, в том числе Музей-усадьба В.Д. Поленова, музей-усадьба А.Т. Болотова "Дворяниново", Музей командира крейсера "Варяг" В.Ф. Руднева, Свято-Казанский женский монастырь в с. Колюпаново.</w:t>
      </w:r>
    </w:p>
    <w:p>
      <w:pPr>
        <w:pStyle w:val="0"/>
        <w:spacing w:before="200" w:lineRule="auto"/>
        <w:ind w:firstLine="540"/>
        <w:jc w:val="both"/>
      </w:pPr>
      <w:r>
        <w:rPr>
          <w:sz w:val="20"/>
        </w:rPr>
        <w:t xml:space="preserve">Комплексное развитие кластеру обеспечивают проведение ежегодного фестиваля "Дикая мята", а также насыщенный событийный календарь парк-отеля "Шахтер", располагающего инклюзивными возможностями.</w:t>
      </w:r>
    </w:p>
    <w:p>
      <w:pPr>
        <w:pStyle w:val="0"/>
        <w:spacing w:before="200" w:lineRule="auto"/>
        <w:ind w:firstLine="540"/>
        <w:jc w:val="both"/>
      </w:pPr>
      <w:r>
        <w:rPr>
          <w:sz w:val="20"/>
        </w:rPr>
        <w:t xml:space="preserve">В регионе функционируют более 200 объектов размещения разных ценовых сегментов. В Едином федеральном реестре туроператоров зарегистрировано порядка 30 региональных туроператоров. Действует сеть региональных, муниципальных и частных туристско-информационных центров.</w:t>
      </w:r>
    </w:p>
    <w:p>
      <w:pPr>
        <w:pStyle w:val="0"/>
        <w:spacing w:before="200" w:lineRule="auto"/>
        <w:ind w:firstLine="540"/>
        <w:jc w:val="both"/>
      </w:pPr>
      <w:r>
        <w:rPr>
          <w:sz w:val="20"/>
        </w:rPr>
        <w:t xml:space="preserve">Стратегическая цель развития туризма в Тульской области - комплексное развитие регионального туристского продукта на основе богатого историко-культурного наследия, сохранении традиций и использовании природного потенциала, с внедрением современных технологий, в целях увеличения доли туризма в ВРП Тульской области.</w:t>
      </w:r>
    </w:p>
    <w:p>
      <w:pPr>
        <w:pStyle w:val="0"/>
        <w:spacing w:before="200" w:lineRule="auto"/>
        <w:ind w:firstLine="540"/>
        <w:jc w:val="both"/>
      </w:pPr>
      <w:r>
        <w:rPr>
          <w:sz w:val="20"/>
        </w:rPr>
        <w:t xml:space="preserve">Достижение поставленной цели потребует решения следующих задач:</w:t>
      </w:r>
    </w:p>
    <w:p>
      <w:pPr>
        <w:pStyle w:val="0"/>
        <w:spacing w:before="200" w:lineRule="auto"/>
        <w:ind w:firstLine="540"/>
        <w:jc w:val="both"/>
      </w:pPr>
      <w:r>
        <w:rPr>
          <w:sz w:val="20"/>
        </w:rPr>
        <w:t xml:space="preserve">обновление стратегии продвижения туристского потенциала Тульской области;</w:t>
      </w:r>
    </w:p>
    <w:p>
      <w:pPr>
        <w:pStyle w:val="0"/>
        <w:spacing w:before="200" w:lineRule="auto"/>
        <w:ind w:firstLine="540"/>
        <w:jc w:val="both"/>
      </w:pPr>
      <w:r>
        <w:rPr>
          <w:sz w:val="20"/>
        </w:rPr>
        <w:t xml:space="preserve">развитие туристской инфраструктуры;</w:t>
      </w:r>
    </w:p>
    <w:p>
      <w:pPr>
        <w:pStyle w:val="0"/>
        <w:spacing w:before="200" w:lineRule="auto"/>
        <w:ind w:firstLine="540"/>
        <w:jc w:val="both"/>
      </w:pPr>
      <w:r>
        <w:rPr>
          <w:sz w:val="20"/>
        </w:rPr>
        <w:t xml:space="preserve">диверсификация туристского продукта;</w:t>
      </w:r>
    </w:p>
    <w:p>
      <w:pPr>
        <w:pStyle w:val="0"/>
        <w:spacing w:before="200" w:lineRule="auto"/>
        <w:ind w:firstLine="540"/>
        <w:jc w:val="both"/>
      </w:pPr>
      <w:r>
        <w:rPr>
          <w:sz w:val="20"/>
        </w:rPr>
        <w:t xml:space="preserve">повышение уровня сервиса;</w:t>
      </w:r>
    </w:p>
    <w:p>
      <w:pPr>
        <w:pStyle w:val="0"/>
        <w:spacing w:before="200" w:lineRule="auto"/>
        <w:ind w:firstLine="540"/>
        <w:jc w:val="both"/>
      </w:pPr>
      <w:r>
        <w:rPr>
          <w:sz w:val="20"/>
        </w:rPr>
        <w:t xml:space="preserve">дальнейшая цифровизация отрасли туризма;</w:t>
      </w:r>
    </w:p>
    <w:p>
      <w:pPr>
        <w:pStyle w:val="0"/>
        <w:spacing w:before="200" w:lineRule="auto"/>
        <w:ind w:firstLine="540"/>
        <w:jc w:val="both"/>
      </w:pPr>
      <w:r>
        <w:rPr>
          <w:sz w:val="20"/>
        </w:rPr>
        <w:t xml:space="preserve">ускоренное развитие в ближайшие годы туристско-рекреационного кластера "Куликовский" (Веневский, Новомосковский, Узловский, Кимовский, Куркинский районы), ядром которого является первое ратное поле страны - Куликово поле. Место популярно среди путешественников, интересующихся военно-патриотической тематикой. Недалеко от Куликова поля расположено село Себино - родина святой Матроны Московской, привлекающее большое число паломников. К 650-летию Куликовской битвы в 2030 года здесь планируется создать культурно-туристический кластер мирового уровня;</w:t>
      </w:r>
    </w:p>
    <w:p>
      <w:pPr>
        <w:pStyle w:val="0"/>
        <w:spacing w:before="200" w:lineRule="auto"/>
        <w:ind w:firstLine="540"/>
        <w:jc w:val="both"/>
      </w:pPr>
      <w:r>
        <w:rPr>
          <w:sz w:val="20"/>
        </w:rPr>
        <w:t xml:space="preserve">развитие туристской территории "Кондуки", предполагающее открытие круглогодичного экокурорта в границах особо охраняемой природной территории площадью 1050 га, расположенной в Узловском районе Тульской области, с впечатляющим ландшафтом и водоемами, имеющими разный цвет - от бирюзового до изумрудного. "Кондуки" расположены в непосредственной близости от основной транспортной артерии страны - трассы М4 "Дон", в 80 км от Тулы и в 230 км от Москвы;</w:t>
      </w:r>
    </w:p>
    <w:p>
      <w:pPr>
        <w:pStyle w:val="0"/>
        <w:spacing w:before="200" w:lineRule="auto"/>
        <w:ind w:firstLine="540"/>
        <w:jc w:val="both"/>
      </w:pPr>
      <w:r>
        <w:rPr>
          <w:sz w:val="20"/>
        </w:rPr>
        <w:t xml:space="preserve">формирование территории перспективного развития "Юго-запад" (Белевский, Одоевский, Суворовский, Дубенский и Ефремовский районы), которая располагает богатым культурно-историческим и природным наследием, объединяет региональные бренды - филимоновскую игрушку, белевскую пастилу, белевское кружево, краинские минеральные воды. Здесь же расположен самый маленький город России - Чекалин.</w:t>
      </w:r>
    </w:p>
    <w:p>
      <w:pPr>
        <w:pStyle w:val="0"/>
        <w:spacing w:before="200" w:lineRule="auto"/>
        <w:ind w:firstLine="540"/>
        <w:jc w:val="both"/>
      </w:pPr>
      <w:r>
        <w:rPr>
          <w:sz w:val="20"/>
        </w:rPr>
        <w:t xml:space="preserve">Обновление стратегии продвижения туристского потенциала Тульской области потребует:</w:t>
      </w:r>
    </w:p>
    <w:p>
      <w:pPr>
        <w:pStyle w:val="0"/>
        <w:spacing w:before="200" w:lineRule="auto"/>
        <w:ind w:firstLine="540"/>
        <w:jc w:val="both"/>
      </w:pPr>
      <w:r>
        <w:rPr>
          <w:sz w:val="20"/>
        </w:rPr>
        <w:t xml:space="preserve">проведения маркетинговых исследований;</w:t>
      </w:r>
    </w:p>
    <w:p>
      <w:pPr>
        <w:pStyle w:val="0"/>
        <w:spacing w:before="200" w:lineRule="auto"/>
        <w:ind w:firstLine="540"/>
        <w:jc w:val="both"/>
      </w:pPr>
      <w:r>
        <w:rPr>
          <w:sz w:val="20"/>
        </w:rPr>
        <w:t xml:space="preserve">повышения уровня компетенций в области маркетинга и дизайна региональных органов власти;</w:t>
      </w:r>
    </w:p>
    <w:p>
      <w:pPr>
        <w:pStyle w:val="0"/>
        <w:spacing w:before="200" w:lineRule="auto"/>
        <w:ind w:firstLine="540"/>
        <w:jc w:val="both"/>
      </w:pPr>
      <w:r>
        <w:rPr>
          <w:sz w:val="20"/>
        </w:rPr>
        <w:t xml:space="preserve">разработки концепции продвижения, предполагающей использование как стандартных форм продвижения (наружная реклама, создание туристических карт и гидов, участие в выставках и презентациях), так и нестандартных способов продвижения (размещение билбордов на территории субъектов Российской Федерации, использование мультимедийных технологий);</w:t>
      </w:r>
    </w:p>
    <w:p>
      <w:pPr>
        <w:pStyle w:val="0"/>
        <w:spacing w:before="200" w:lineRule="auto"/>
        <w:ind w:firstLine="540"/>
        <w:jc w:val="both"/>
      </w:pPr>
      <w:r>
        <w:rPr>
          <w:sz w:val="20"/>
        </w:rPr>
        <w:t xml:space="preserve">экспорта туристических услуг.</w:t>
      </w:r>
    </w:p>
    <w:p>
      <w:pPr>
        <w:pStyle w:val="0"/>
        <w:spacing w:before="200" w:lineRule="auto"/>
        <w:ind w:firstLine="540"/>
        <w:jc w:val="both"/>
      </w:pPr>
      <w:r>
        <w:rPr>
          <w:sz w:val="20"/>
        </w:rPr>
        <w:t xml:space="preserve">В рамках развития туристской инфраструктуры предполагается осуществлять следующие мероприятия:</w:t>
      </w:r>
    </w:p>
    <w:p>
      <w:pPr>
        <w:pStyle w:val="0"/>
        <w:spacing w:before="200" w:lineRule="auto"/>
        <w:ind w:firstLine="540"/>
        <w:jc w:val="both"/>
      </w:pPr>
      <w:r>
        <w:rPr>
          <w:sz w:val="20"/>
        </w:rPr>
        <w:t xml:space="preserve">создание банка инвестиционных объектов и площадок, поиск и привлечение инвесторов в туристский бизнес;</w:t>
      </w:r>
    </w:p>
    <w:p>
      <w:pPr>
        <w:pStyle w:val="0"/>
        <w:spacing w:before="200" w:lineRule="auto"/>
        <w:ind w:firstLine="540"/>
        <w:jc w:val="both"/>
      </w:pPr>
      <w:r>
        <w:rPr>
          <w:sz w:val="20"/>
        </w:rPr>
        <w:t xml:space="preserve">реализация комплекса мер по поддержке развития малого и среднего предпринимательства в туризме, в том числе с участием профильных институтов развития; развитие системы инструментов кредитно-гарантийной поддержки для малого и среднего предпринимательства в сфере туризма, системы микрозаймов, реализация льготных лизинговых программ, субсидирование процентных ставок по кредитам;</w:t>
      </w:r>
    </w:p>
    <w:p>
      <w:pPr>
        <w:pStyle w:val="0"/>
        <w:spacing w:before="200" w:lineRule="auto"/>
        <w:ind w:firstLine="540"/>
        <w:jc w:val="both"/>
      </w:pPr>
      <w:r>
        <w:rPr>
          <w:sz w:val="20"/>
        </w:rPr>
        <w:t xml:space="preserve">развитие малых городов и исторических поселений федерального значения, в том числе реконструкция культурных, историко-архитектурных и прочих памятников и формирование на их основе туристских маршрутов;</w:t>
      </w:r>
    </w:p>
    <w:p>
      <w:pPr>
        <w:pStyle w:val="0"/>
        <w:spacing w:before="200" w:lineRule="auto"/>
        <w:ind w:firstLine="540"/>
        <w:jc w:val="both"/>
      </w:pPr>
      <w:r>
        <w:rPr>
          <w:sz w:val="20"/>
        </w:rPr>
        <w:t xml:space="preserve">развитие сети государственных и частных туристско-информационных центров;</w:t>
      </w:r>
    </w:p>
    <w:p>
      <w:pPr>
        <w:pStyle w:val="0"/>
        <w:spacing w:before="200" w:lineRule="auto"/>
        <w:ind w:firstLine="540"/>
        <w:jc w:val="both"/>
      </w:pPr>
      <w:r>
        <w:rPr>
          <w:sz w:val="20"/>
        </w:rPr>
        <w:t xml:space="preserve">восстановление объектов культурного наследия с целью их введения в экономический оборот.</w:t>
      </w:r>
    </w:p>
    <w:p>
      <w:pPr>
        <w:pStyle w:val="0"/>
        <w:spacing w:before="200" w:lineRule="auto"/>
        <w:ind w:firstLine="540"/>
        <w:jc w:val="both"/>
      </w:pPr>
      <w:r>
        <w:rPr>
          <w:sz w:val="20"/>
        </w:rPr>
        <w:t xml:space="preserve">Диверсификация туристского продукта Тульской области потребует реализации следующих мероприятий:</w:t>
      </w:r>
    </w:p>
    <w:p>
      <w:pPr>
        <w:pStyle w:val="0"/>
        <w:spacing w:before="200" w:lineRule="auto"/>
        <w:ind w:firstLine="540"/>
        <w:jc w:val="both"/>
      </w:pPr>
      <w:r>
        <w:rPr>
          <w:sz w:val="20"/>
        </w:rPr>
        <w:t xml:space="preserve">развитие существующих и создание новых условий для формирования новых уникальных региональных турпродуктов на основе культурно-исторического и природного потенциала региона, их брендирование, продвижение и капитализация;</w:t>
      </w:r>
    </w:p>
    <w:p>
      <w:pPr>
        <w:pStyle w:val="0"/>
        <w:spacing w:before="200" w:lineRule="auto"/>
        <w:ind w:firstLine="540"/>
        <w:jc w:val="both"/>
      </w:pPr>
      <w:r>
        <w:rPr>
          <w:sz w:val="20"/>
        </w:rPr>
        <w:t xml:space="preserve">дальнейшее развитие существующих событийных мероприятий международного и всероссийского масштаба;</w:t>
      </w:r>
    </w:p>
    <w:p>
      <w:pPr>
        <w:pStyle w:val="0"/>
        <w:spacing w:before="200" w:lineRule="auto"/>
        <w:ind w:firstLine="540"/>
        <w:jc w:val="both"/>
      </w:pPr>
      <w:r>
        <w:rPr>
          <w:sz w:val="20"/>
        </w:rPr>
        <w:t xml:space="preserve">интеграция экскурсионных программ в мероприятия делового туризма;</w:t>
      </w:r>
    </w:p>
    <w:p>
      <w:pPr>
        <w:pStyle w:val="0"/>
        <w:spacing w:before="200" w:lineRule="auto"/>
        <w:ind w:firstLine="540"/>
        <w:jc w:val="both"/>
      </w:pPr>
      <w:r>
        <w:rPr>
          <w:sz w:val="20"/>
        </w:rPr>
        <w:t xml:space="preserve">разработка и реализация мер по поощрению достижений и поддержке экспортеров туристских услуг;</w:t>
      </w:r>
    </w:p>
    <w:p>
      <w:pPr>
        <w:pStyle w:val="0"/>
        <w:spacing w:before="200" w:lineRule="auto"/>
        <w:ind w:firstLine="540"/>
        <w:jc w:val="both"/>
      </w:pPr>
      <w:r>
        <w:rPr>
          <w:sz w:val="20"/>
        </w:rPr>
        <w:t xml:space="preserve">сохранение и развитие народных художественных промыслов;</w:t>
      </w:r>
    </w:p>
    <w:p>
      <w:pPr>
        <w:pStyle w:val="0"/>
        <w:spacing w:before="200" w:lineRule="auto"/>
        <w:ind w:firstLine="540"/>
        <w:jc w:val="both"/>
      </w:pPr>
      <w:r>
        <w:rPr>
          <w:sz w:val="20"/>
        </w:rPr>
        <w:t xml:space="preserve">внедрение мер по созданию и развитию инфраструктуры для туристов с ограниченными возможностями, обеспечение доступности туристских объектов для такой категории туристов, развитие безбарьерной среды, совершенствование системы навигации и ориентирования в сфере туризма и информационных сервисов для инвалидов, что способствует формированию туристского продукта для туристов с ограниченными возможностями.</w:t>
      </w:r>
    </w:p>
    <w:p>
      <w:pPr>
        <w:pStyle w:val="0"/>
        <w:spacing w:before="200" w:lineRule="auto"/>
        <w:ind w:firstLine="540"/>
        <w:jc w:val="both"/>
      </w:pPr>
      <w:r>
        <w:rPr>
          <w:sz w:val="20"/>
        </w:rPr>
        <w:t xml:space="preserve">Повышение уровня сервиса в объектах туристической индустрии Тульской области потребует:</w:t>
      </w:r>
    </w:p>
    <w:p>
      <w:pPr>
        <w:pStyle w:val="0"/>
        <w:spacing w:before="200" w:lineRule="auto"/>
        <w:ind w:firstLine="540"/>
        <w:jc w:val="both"/>
      </w:pPr>
      <w:r>
        <w:rPr>
          <w:sz w:val="20"/>
        </w:rPr>
        <w:t xml:space="preserve">повышение качества подготовки квалифицированных экскурсоводов и гидов-переводчиков;</w:t>
      </w:r>
    </w:p>
    <w:p>
      <w:pPr>
        <w:pStyle w:val="0"/>
        <w:spacing w:before="200" w:lineRule="auto"/>
        <w:ind w:firstLine="540"/>
        <w:jc w:val="both"/>
      </w:pPr>
      <w:r>
        <w:rPr>
          <w:sz w:val="20"/>
        </w:rPr>
        <w:t xml:space="preserve">разработка и внедрение систем, направленных на повышение качества сервиса и клиентоориентированности;</w:t>
      </w:r>
    </w:p>
    <w:p>
      <w:pPr>
        <w:pStyle w:val="0"/>
        <w:spacing w:before="200" w:lineRule="auto"/>
        <w:ind w:firstLine="540"/>
        <w:jc w:val="both"/>
      </w:pPr>
      <w:r>
        <w:rPr>
          <w:sz w:val="20"/>
        </w:rPr>
        <w:t xml:space="preserve">разработка совместно с профессиональными объединениями, бизнесом и образовательными организациями концепции кадрового обеспечения развития туризма.</w:t>
      </w:r>
    </w:p>
    <w:p>
      <w:pPr>
        <w:pStyle w:val="0"/>
        <w:spacing w:before="200" w:lineRule="auto"/>
        <w:ind w:firstLine="540"/>
        <w:jc w:val="both"/>
      </w:pPr>
      <w:r>
        <w:rPr>
          <w:sz w:val="20"/>
        </w:rPr>
        <w:t xml:space="preserve">Дальнейшая цифровизация отрасли туризма будет осуществляться посредством следующих мероприятий:</w:t>
      </w:r>
    </w:p>
    <w:p>
      <w:pPr>
        <w:pStyle w:val="0"/>
        <w:spacing w:before="200" w:lineRule="auto"/>
        <w:ind w:firstLine="540"/>
        <w:jc w:val="both"/>
      </w:pPr>
      <w:r>
        <w:rPr>
          <w:sz w:val="20"/>
        </w:rPr>
        <w:t xml:space="preserve">развитие англоязычной и китайской версии регионального туристского портала visittula.com;</w:t>
      </w:r>
    </w:p>
    <w:p>
      <w:pPr>
        <w:pStyle w:val="0"/>
        <w:spacing w:before="200" w:lineRule="auto"/>
        <w:ind w:firstLine="540"/>
        <w:jc w:val="both"/>
      </w:pPr>
      <w:r>
        <w:rPr>
          <w:sz w:val="20"/>
        </w:rPr>
        <w:t xml:space="preserve">разработка мультимедийных приложений для объектов показа, сервисов аудио- и видеогидов с возможностью интеграции с GPS/Глонасс-навигацией, использованием QR-кодов для формирования запросов;</w:t>
      </w:r>
    </w:p>
    <w:p>
      <w:pPr>
        <w:pStyle w:val="0"/>
        <w:spacing w:before="200" w:lineRule="auto"/>
        <w:ind w:firstLine="540"/>
        <w:jc w:val="both"/>
      </w:pPr>
      <w:r>
        <w:rPr>
          <w:sz w:val="20"/>
        </w:rPr>
        <w:t xml:space="preserve">внедрение и развитие мультимедийных сервисов помощи туристам, включая информационные сервисы, сервисы навигации и самообслуживания, с целью повышения доступности, качества и привлекательности туристских услуг, роста эффективности использования туристских ресурсов;</w:t>
      </w:r>
    </w:p>
    <w:p>
      <w:pPr>
        <w:pStyle w:val="0"/>
        <w:spacing w:before="200" w:lineRule="auto"/>
        <w:ind w:firstLine="540"/>
        <w:jc w:val="both"/>
      </w:pPr>
      <w:r>
        <w:rPr>
          <w:sz w:val="20"/>
        </w:rPr>
        <w:t xml:space="preserve">развитие платежной инфраструктуры и повышение доступности международных платежных систем в точках туристического интереса.</w:t>
      </w:r>
    </w:p>
    <w:p>
      <w:pPr>
        <w:pStyle w:val="0"/>
        <w:spacing w:before="200" w:lineRule="auto"/>
        <w:ind w:firstLine="540"/>
        <w:jc w:val="both"/>
      </w:pPr>
      <w:r>
        <w:rPr>
          <w:sz w:val="20"/>
        </w:rPr>
        <w:t xml:space="preserve">В качестве новых форм и видов туризма в Тульской области целесообразно развивать:</w:t>
      </w:r>
    </w:p>
    <w:p>
      <w:pPr>
        <w:pStyle w:val="0"/>
        <w:spacing w:before="200" w:lineRule="auto"/>
        <w:ind w:firstLine="540"/>
        <w:jc w:val="both"/>
      </w:pPr>
      <w:r>
        <w:rPr>
          <w:sz w:val="20"/>
        </w:rPr>
        <w:t xml:space="preserve">железнодорожный туризм. С этой целью необходимо создать инфраструктуру (с участием открытого акционерного общества "РЖД") по приему туристских поездов. В городе Тула стоянка туристских поездов может быть оборудована в восточной части станции Тула-Вяземская, в пешеходной доступности от Тульского кремля и Музея оружия. Прием туристских поездов может быть организован и в других локациях области, таких, как Ясная Поляна, Белев, Богородицк и др.;</w:t>
      </w:r>
    </w:p>
    <w:p>
      <w:pPr>
        <w:pStyle w:val="0"/>
        <w:spacing w:before="200" w:lineRule="auto"/>
        <w:ind w:firstLine="540"/>
        <w:jc w:val="both"/>
      </w:pPr>
      <w:r>
        <w:rPr>
          <w:sz w:val="20"/>
        </w:rPr>
        <w:t xml:space="preserve">автомобильный туризм. Значительный транзитный поток по автомобильным дорогам М-2 "Крым" и М-4 "Дон" можно частично "приземлить" в Тульской области за счет создания возможностей для комфортабельных ночлегов (за счет частных инвестиций) и кратких визитов на интересные туристические объекты вблизи магистралей;</w:t>
      </w:r>
    </w:p>
    <w:p>
      <w:pPr>
        <w:pStyle w:val="0"/>
        <w:spacing w:before="200" w:lineRule="auto"/>
        <w:ind w:firstLine="540"/>
        <w:jc w:val="both"/>
      </w:pPr>
      <w:r>
        <w:rPr>
          <w:sz w:val="20"/>
        </w:rPr>
        <w:t xml:space="preserve">агротуризм. Перспективными направлениями развития агротуризма являются создание проектов развития сельского туризма на базе сельскохозяйственных производителей, создание тематических маршрутов сельского туризма, продвижение объектов и маршрутов сельского туризма, интеграция сельского туризма в региональную туристскую экосистему;</w:t>
      </w:r>
    </w:p>
    <w:p>
      <w:pPr>
        <w:pStyle w:val="0"/>
        <w:spacing w:before="200" w:lineRule="auto"/>
        <w:ind w:firstLine="540"/>
        <w:jc w:val="both"/>
      </w:pPr>
      <w:r>
        <w:rPr>
          <w:sz w:val="20"/>
        </w:rPr>
        <w:t xml:space="preserve">гастрономический туризм. Полноценные гастрономические туры позволят включить не только традиционные тульские бренды (пряники, пастила) и локации, посвященные им, но и использовать наследие Андрея Болотова и Василия Левшина;</w:t>
      </w:r>
    </w:p>
    <w:p>
      <w:pPr>
        <w:pStyle w:val="0"/>
        <w:spacing w:before="200" w:lineRule="auto"/>
        <w:ind w:firstLine="540"/>
        <w:jc w:val="both"/>
      </w:pPr>
      <w:r>
        <w:rPr>
          <w:sz w:val="20"/>
        </w:rPr>
        <w:t xml:space="preserve">речной туризм. Рекреационный потенциал реки Оки может быть более полно использован с развитием причальной инфраструктуры и формированием межрегиональных туристских продуктов.</w:t>
      </w:r>
    </w:p>
    <w:p>
      <w:pPr>
        <w:pStyle w:val="0"/>
      </w:pPr>
      <w:r>
        <w:rPr>
          <w:sz w:val="20"/>
        </w:rPr>
      </w:r>
    </w:p>
    <w:p>
      <w:pPr>
        <w:pStyle w:val="2"/>
        <w:outlineLvl w:val="2"/>
        <w:jc w:val="center"/>
      </w:pPr>
      <w:r>
        <w:rPr>
          <w:sz w:val="20"/>
        </w:rPr>
        <w:t xml:space="preserve">5.6. Развитие малого и среднего предпринимательства</w:t>
      </w:r>
    </w:p>
    <w:p>
      <w:pPr>
        <w:pStyle w:val="0"/>
      </w:pPr>
      <w:r>
        <w:rPr>
          <w:sz w:val="20"/>
        </w:rPr>
      </w:r>
    </w:p>
    <w:p>
      <w:pPr>
        <w:pStyle w:val="0"/>
        <w:ind w:firstLine="540"/>
        <w:jc w:val="both"/>
      </w:pPr>
      <w:r>
        <w:rPr>
          <w:sz w:val="20"/>
        </w:rPr>
        <w:t xml:space="preserve">По данным Единого реестра субъектов малого и среднего предпринимательства на начало 2026 года в Тульской области зарегистрировано 55,7 тысяч субъектов малого и среднего предпринимательства, что составляет примерно 3825 ед. на 100 тыс. населения. Преобладающая часть малых и средних предприятий региона работает в сферах торговли, услуг, туризма и общественного питания, а также в строительстве и на транспорте.</w:t>
      </w:r>
    </w:p>
    <w:p>
      <w:pPr>
        <w:pStyle w:val="0"/>
        <w:spacing w:before="200" w:lineRule="auto"/>
        <w:ind w:firstLine="540"/>
        <w:jc w:val="both"/>
      </w:pPr>
      <w:r>
        <w:rPr>
          <w:sz w:val="20"/>
        </w:rPr>
        <w:t xml:space="preserve">В Тульской области за последние годы сформирована многоканальная система мер поддержки малого и среднего предпринимательства.</w:t>
      </w:r>
    </w:p>
    <w:p>
      <w:pPr>
        <w:pStyle w:val="0"/>
        <w:spacing w:before="200" w:lineRule="auto"/>
        <w:ind w:firstLine="540"/>
        <w:jc w:val="both"/>
      </w:pPr>
      <w:r>
        <w:rPr>
          <w:sz w:val="20"/>
        </w:rPr>
        <w:t xml:space="preserve">В регионе работают институты, оказывающие различную финансовую поддержку представителям сектора, в том числе:</w:t>
      </w:r>
    </w:p>
    <w:p>
      <w:pPr>
        <w:pStyle w:val="0"/>
        <w:spacing w:before="200" w:lineRule="auto"/>
        <w:ind w:firstLine="540"/>
        <w:jc w:val="both"/>
      </w:pPr>
      <w:r>
        <w:rPr>
          <w:sz w:val="20"/>
        </w:rPr>
        <w:t xml:space="preserve">Тульский региональный фонд "Центр поддержки предпринимательства", в структуру которого входят Центр поддержки экспорта, Центр инжиниринга и кластерного развития, Центр инноваций социальной сферы, Центр компетенций в сфере сельскохозяйственной кооперации и поддержки фермеров;</w:t>
      </w:r>
    </w:p>
    <w:p>
      <w:pPr>
        <w:pStyle w:val="0"/>
        <w:spacing w:before="200" w:lineRule="auto"/>
        <w:ind w:firstLine="540"/>
        <w:jc w:val="both"/>
      </w:pPr>
      <w:r>
        <w:rPr>
          <w:sz w:val="20"/>
        </w:rPr>
        <w:t xml:space="preserve">Микрокредитная компания Тульский областной фонд поддержки малого предпринимательства;</w:t>
      </w:r>
    </w:p>
    <w:p>
      <w:pPr>
        <w:pStyle w:val="0"/>
        <w:spacing w:before="200" w:lineRule="auto"/>
        <w:ind w:firstLine="540"/>
        <w:jc w:val="both"/>
      </w:pPr>
      <w:r>
        <w:rPr>
          <w:sz w:val="20"/>
        </w:rPr>
        <w:t xml:space="preserve">Тульский областной гарантийный фонд;</w:t>
      </w:r>
    </w:p>
    <w:p>
      <w:pPr>
        <w:pStyle w:val="0"/>
        <w:spacing w:before="200" w:lineRule="auto"/>
        <w:ind w:firstLine="540"/>
        <w:jc w:val="both"/>
      </w:pPr>
      <w:r>
        <w:rPr>
          <w:sz w:val="20"/>
        </w:rPr>
        <w:t xml:space="preserve">государственное учреждение Тульской области "Тульский областной бизнес-инкубатор".</w:t>
      </w:r>
    </w:p>
    <w:p>
      <w:pPr>
        <w:pStyle w:val="0"/>
        <w:spacing w:before="200" w:lineRule="auto"/>
        <w:ind w:firstLine="540"/>
        <w:jc w:val="both"/>
      </w:pPr>
      <w:r>
        <w:rPr>
          <w:sz w:val="20"/>
        </w:rPr>
        <w:t xml:space="preserve">Кроме того, малые и средние предприятия Тульской области имеют доступ к федеральным мерам финансовой поддержки малого и среднего предпринимательства, включая:</w:t>
      </w:r>
    </w:p>
    <w:p>
      <w:pPr>
        <w:pStyle w:val="0"/>
        <w:spacing w:before="200" w:lineRule="auto"/>
        <w:ind w:firstLine="540"/>
        <w:jc w:val="both"/>
      </w:pPr>
      <w:r>
        <w:rPr>
          <w:sz w:val="20"/>
        </w:rPr>
        <w:t xml:space="preserve">предоставление гарантийной поддержки Акционерного общества "Федеральная корпорация по развитию малого и среднего предпринимательства";</w:t>
      </w:r>
    </w:p>
    <w:p>
      <w:pPr>
        <w:pStyle w:val="0"/>
        <w:spacing w:before="200" w:lineRule="auto"/>
        <w:ind w:firstLine="540"/>
        <w:jc w:val="both"/>
      </w:pPr>
      <w:r>
        <w:rPr>
          <w:sz w:val="20"/>
        </w:rPr>
        <w:t xml:space="preserve">программа стимулирования кредитования субъектов малого и среднего предпринимательства;</w:t>
      </w:r>
    </w:p>
    <w:p>
      <w:pPr>
        <w:pStyle w:val="0"/>
        <w:spacing w:before="200" w:lineRule="auto"/>
        <w:ind w:firstLine="540"/>
        <w:jc w:val="both"/>
      </w:pPr>
      <w:r>
        <w:rPr>
          <w:sz w:val="20"/>
        </w:rPr>
        <w:t xml:space="preserve">программа льготного лизинга для субъектов малого и среднего предпринимательства.</w:t>
      </w:r>
    </w:p>
    <w:p>
      <w:pPr>
        <w:pStyle w:val="0"/>
        <w:spacing w:before="200" w:lineRule="auto"/>
        <w:ind w:firstLine="540"/>
        <w:jc w:val="both"/>
      </w:pPr>
      <w:r>
        <w:rPr>
          <w:sz w:val="20"/>
        </w:rPr>
        <w:t xml:space="preserve">Еще одним важным направлением работы с малым и средним предпринимательством Тульской области являются нефинансовые меры поддержки: различные виды консультаций; обучающие программы и мероприятия; содействие в популяризации товаров и услуг, производимых различными субъектами малого и среднего предпринимательства и прочие виды информационной поддержки; помощь в разработке и подготовке различных видов документации; помощь в проведении экспертиз.</w:t>
      </w:r>
    </w:p>
    <w:p>
      <w:pPr>
        <w:pStyle w:val="0"/>
        <w:spacing w:before="200" w:lineRule="auto"/>
        <w:ind w:firstLine="540"/>
        <w:jc w:val="both"/>
      </w:pPr>
      <w:r>
        <w:rPr>
          <w:sz w:val="20"/>
        </w:rPr>
        <w:t xml:space="preserve">Благодаря перечисленным мерам поддержки объем закупок товаров и услуг у малых и средних предприятий Тульской области в 2024 году вырос на 25% по сравнению с 2023 годом, достигнув уровня в 49 млрд. рублей.</w:t>
      </w:r>
    </w:p>
    <w:p>
      <w:pPr>
        <w:pStyle w:val="0"/>
        <w:spacing w:before="200" w:lineRule="auto"/>
        <w:ind w:firstLine="540"/>
        <w:jc w:val="both"/>
      </w:pPr>
      <w:r>
        <w:rPr>
          <w:sz w:val="20"/>
        </w:rPr>
        <w:t xml:space="preserve">Стратегическая цель - создание благоприятных условий для развития предпринимательства в Тульской области, увеличение вклада малых и средних предприятий в ВРП Тульской области и использование потенциала малого и среднего предпринимательства для улучшения социально-экономической ситуации в муниципальных образованиях с более низким уровнем развития.</w:t>
      </w:r>
    </w:p>
    <w:p>
      <w:pPr>
        <w:pStyle w:val="0"/>
        <w:spacing w:before="200" w:lineRule="auto"/>
        <w:ind w:firstLine="540"/>
        <w:jc w:val="both"/>
      </w:pPr>
      <w:r>
        <w:rPr>
          <w:sz w:val="20"/>
        </w:rPr>
        <w:t xml:space="preserve">Достижение данной стратегической цели потребует решения следующих основных задач:</w:t>
      </w:r>
    </w:p>
    <w:p>
      <w:pPr>
        <w:pStyle w:val="0"/>
        <w:spacing w:before="200" w:lineRule="auto"/>
        <w:ind w:firstLine="540"/>
        <w:jc w:val="both"/>
      </w:pPr>
      <w:r>
        <w:rPr>
          <w:sz w:val="20"/>
        </w:rPr>
        <w:t xml:space="preserve">наращивание объемов финансовой и нефинансовой поддержки малых и средних предприятий;</w:t>
      </w:r>
    </w:p>
    <w:p>
      <w:pPr>
        <w:pStyle w:val="0"/>
        <w:spacing w:before="200" w:lineRule="auto"/>
        <w:ind w:firstLine="540"/>
        <w:jc w:val="both"/>
      </w:pPr>
      <w:r>
        <w:rPr>
          <w:sz w:val="20"/>
        </w:rPr>
        <w:t xml:space="preserve">увеличение числа и разнообразие механизмов и инструментов поддержки малого и среднего предпринимательства;</w:t>
      </w:r>
    </w:p>
    <w:p>
      <w:pPr>
        <w:pStyle w:val="0"/>
        <w:spacing w:before="200" w:lineRule="auto"/>
        <w:ind w:firstLine="540"/>
        <w:jc w:val="both"/>
      </w:pPr>
      <w:r>
        <w:rPr>
          <w:sz w:val="20"/>
        </w:rPr>
        <w:t xml:space="preserve">обеспечение выхода региональных субъектов малого и среднего предпринимательства на новые российские и зарубежные рынки;</w:t>
      </w:r>
    </w:p>
    <w:p>
      <w:pPr>
        <w:pStyle w:val="0"/>
        <w:spacing w:before="200" w:lineRule="auto"/>
        <w:ind w:firstLine="540"/>
        <w:jc w:val="both"/>
      </w:pPr>
      <w:r>
        <w:rPr>
          <w:sz w:val="20"/>
        </w:rPr>
        <w:t xml:space="preserve">использование возможностей малого и среднего предпринимательства для привлечения на рынок труда молодежи, пенсионеров, инвалидов, домохозяек;</w:t>
      </w:r>
    </w:p>
    <w:p>
      <w:pPr>
        <w:pStyle w:val="0"/>
        <w:spacing w:before="200" w:lineRule="auto"/>
        <w:ind w:firstLine="540"/>
        <w:jc w:val="both"/>
      </w:pPr>
      <w:r>
        <w:rPr>
          <w:sz w:val="20"/>
        </w:rPr>
        <w:t xml:space="preserve">способствование расширению сотрудничества субъектов малого и среднего предпринимательства с крупными компаниями и бюджетными организациями (включая облегчение доступа к государственным заказам);</w:t>
      </w:r>
    </w:p>
    <w:p>
      <w:pPr>
        <w:pStyle w:val="0"/>
        <w:spacing w:before="200" w:lineRule="auto"/>
        <w:ind w:firstLine="540"/>
        <w:jc w:val="both"/>
      </w:pPr>
      <w:r>
        <w:rPr>
          <w:sz w:val="20"/>
        </w:rPr>
        <w:t xml:space="preserve">усиление сетевого взаимодействия региональных субъектов малого и среднего предпринимательства в рамках мероприятий, предусматривающих регулярный обмен опытом и информацией;</w:t>
      </w:r>
    </w:p>
    <w:p>
      <w:pPr>
        <w:pStyle w:val="0"/>
        <w:spacing w:before="200" w:lineRule="auto"/>
        <w:ind w:firstLine="540"/>
        <w:jc w:val="both"/>
      </w:pPr>
      <w:r>
        <w:rPr>
          <w:sz w:val="20"/>
        </w:rPr>
        <w:t xml:space="preserve">повышение бизнес-культуры субъектов малого и среднего предпринимательства посредством регулярных обучающих программ и мероприятий.</w:t>
      </w:r>
    </w:p>
    <w:p>
      <w:pPr>
        <w:pStyle w:val="0"/>
        <w:spacing w:before="200" w:lineRule="auto"/>
        <w:ind w:firstLine="540"/>
        <w:jc w:val="both"/>
      </w:pPr>
      <w:r>
        <w:rPr>
          <w:sz w:val="20"/>
        </w:rPr>
        <w:t xml:space="preserve">Выполнение указанных задач предполагает проведение следующих мероприятий:</w:t>
      </w:r>
    </w:p>
    <w:p>
      <w:pPr>
        <w:pStyle w:val="0"/>
        <w:spacing w:before="200" w:lineRule="auto"/>
        <w:ind w:firstLine="540"/>
        <w:jc w:val="both"/>
      </w:pPr>
      <w:r>
        <w:rPr>
          <w:sz w:val="20"/>
        </w:rPr>
        <w:t xml:space="preserve">предоставление микрозаймов для субъектов малого и среднего предпринимательства от Микрокредитной компании Тульский областной фонд поддержки малого предпринимательства до 5 млн. рублей по ставке 1 - 16% годовых в зависимости от программы займа;</w:t>
      </w:r>
    </w:p>
    <w:p>
      <w:pPr>
        <w:pStyle w:val="0"/>
        <w:spacing w:before="200" w:lineRule="auto"/>
        <w:ind w:firstLine="540"/>
        <w:jc w:val="both"/>
      </w:pPr>
      <w:r>
        <w:rPr>
          <w:sz w:val="20"/>
        </w:rPr>
        <w:t xml:space="preserve">поручительства Тульского областного гарантийного фонда по договорам, заключенным с кредитными организациями, при нехватке залогового обеспечения до 50% от общей суммы кредита;</w:t>
      </w:r>
    </w:p>
    <w:p>
      <w:pPr>
        <w:pStyle w:val="0"/>
        <w:spacing w:before="200" w:lineRule="auto"/>
        <w:ind w:firstLine="540"/>
        <w:jc w:val="both"/>
      </w:pPr>
      <w:r>
        <w:rPr>
          <w:sz w:val="20"/>
        </w:rPr>
        <w:t xml:space="preserve">субсидии для субъектов малого и среднего предпринимательства;</w:t>
      </w:r>
    </w:p>
    <w:p>
      <w:pPr>
        <w:pStyle w:val="0"/>
        <w:spacing w:before="200" w:lineRule="auto"/>
        <w:ind w:firstLine="540"/>
        <w:jc w:val="both"/>
      </w:pPr>
      <w:r>
        <w:rPr>
          <w:sz w:val="20"/>
        </w:rPr>
        <w:t xml:space="preserve">консультационная поддержка малого и среднего предпринимательства, обучающие программы Тульского регионального фонда "Центр поддержки предпринимательства";</w:t>
      </w:r>
    </w:p>
    <w:p>
      <w:pPr>
        <w:pStyle w:val="0"/>
        <w:spacing w:before="200" w:lineRule="auto"/>
        <w:ind w:firstLine="540"/>
        <w:jc w:val="both"/>
      </w:pPr>
      <w:r>
        <w:rPr>
          <w:sz w:val="20"/>
        </w:rPr>
        <w:t xml:space="preserve">пониженная ставка арендной платы в государственном учреждении Тульской области "Тульский областной бизнес-инкубатор" для субъектов малого и среднего предпринимательства, осуществляющих деятельность не более 3 лет с даты регистрации;</w:t>
      </w:r>
    </w:p>
    <w:p>
      <w:pPr>
        <w:pStyle w:val="0"/>
        <w:spacing w:before="200" w:lineRule="auto"/>
        <w:ind w:firstLine="540"/>
        <w:jc w:val="both"/>
      </w:pPr>
      <w:r>
        <w:rPr>
          <w:sz w:val="20"/>
        </w:rPr>
        <w:t xml:space="preserve">налоговые каникулы для отдельных категорий налогоплательщиков из числа индивидуальных предпринимателей.</w:t>
      </w:r>
    </w:p>
    <w:p>
      <w:pPr>
        <w:pStyle w:val="0"/>
      </w:pPr>
      <w:r>
        <w:rPr>
          <w:sz w:val="20"/>
        </w:rPr>
      </w:r>
    </w:p>
    <w:p>
      <w:pPr>
        <w:pStyle w:val="2"/>
        <w:outlineLvl w:val="2"/>
        <w:jc w:val="center"/>
      </w:pPr>
      <w:r>
        <w:rPr>
          <w:sz w:val="20"/>
        </w:rPr>
        <w:t xml:space="preserve">5.7. Создание условий поддерживающих ответственное ведение</w:t>
      </w:r>
    </w:p>
    <w:p>
      <w:pPr>
        <w:pStyle w:val="2"/>
        <w:jc w:val="center"/>
      </w:pPr>
      <w:r>
        <w:rPr>
          <w:sz w:val="20"/>
        </w:rPr>
        <w:t xml:space="preserve">бизнеса, социальное инвестирование и социальное партнерство</w:t>
      </w:r>
    </w:p>
    <w:p>
      <w:pPr>
        <w:pStyle w:val="0"/>
      </w:pPr>
      <w:r>
        <w:rPr>
          <w:sz w:val="20"/>
        </w:rPr>
      </w:r>
    </w:p>
    <w:p>
      <w:pPr>
        <w:pStyle w:val="0"/>
        <w:ind w:firstLine="540"/>
        <w:jc w:val="both"/>
      </w:pPr>
      <w:r>
        <w:rPr>
          <w:sz w:val="20"/>
        </w:rPr>
        <w:t xml:space="preserve">В Тульской области созданы условия для стимулирования ответственного ведения бизнеса, социального инвестирования и социального партнерства.</w:t>
      </w:r>
    </w:p>
    <w:p>
      <w:pPr>
        <w:pStyle w:val="0"/>
        <w:spacing w:before="200" w:lineRule="auto"/>
        <w:ind w:firstLine="540"/>
        <w:jc w:val="both"/>
      </w:pPr>
      <w:r>
        <w:rPr>
          <w:sz w:val="20"/>
        </w:rPr>
        <w:t xml:space="preserve">На территории региона действует базовый набор мер поддержки для ответственных субъектов предпринимательской деятельности, в частности, предоставление информационно-консультационной поддержки, в том числе при сопровождении инвестиционных проектов; предоставление поддержки в области кадрового обеспечения; вынесение вопросов по оказанию содействия ответственным субъектам предпринимательской деятельности на рассмотрение инвестиционного уполномоченного в ЦФО; оказание содействия в организации выставок, экспозиций, конкурсов, семинаров, научно-практических конференций и форумов, способствующих развитию ответственного ведения бизнеса; организация публикации информационно-аналитических материалов о положительных практиках ответственного ведения бизнеса; предоставление налоговых льгот в соответствии с законодательством Тульской области; предоставление субсидий в соответствии с законодательством Российской Федерации и Тульской области; предоставление в аренду на льготных условиях имущества Тульской области в соответствии с законодательством Тульской области; предоставление земельных участков юридическим лицам в аренду без проведения торгов для размещения объектов социально-культурного и коммунально-бытового назначения, реализации масштабных инвестиционных проектов.</w:t>
      </w:r>
    </w:p>
    <w:p>
      <w:pPr>
        <w:pStyle w:val="0"/>
        <w:spacing w:before="200" w:lineRule="auto"/>
        <w:ind w:firstLine="540"/>
        <w:jc w:val="both"/>
      </w:pPr>
      <w:r>
        <w:rPr>
          <w:sz w:val="20"/>
        </w:rPr>
        <w:t xml:space="preserve">В Тульской области установлен срок действия статуса ответственного субъекта - 3 года; утверждены порядок оценки соответствия критериям благонадежности и социальной и экологической ответственности; порядок присвоения, продления и прекращения статуса ответственного субъекта предпринимательской деятельности; порядок взаимодействия при предоставлении мер поддержки.</w:t>
      </w:r>
    </w:p>
    <w:p>
      <w:pPr>
        <w:pStyle w:val="0"/>
        <w:spacing w:before="200" w:lineRule="auto"/>
        <w:ind w:firstLine="540"/>
        <w:jc w:val="both"/>
      </w:pPr>
      <w:r>
        <w:rPr>
          <w:sz w:val="20"/>
        </w:rPr>
        <w:t xml:space="preserve">Критерии оценки благонадежности, социальной и экологической ответственности бизнеса напрямую увязаны с индексом деловой репутации субъектов предпринимательской деятельности (ЭКГ-рейтингом). Интеграция ЭКГ-рейтинга в региональную модель стимулирования обеспечивает сопоставимость организаций по единым критериям "Экология-Кадры-Государство", повышает объективность принятия решений о предоставлении статуса и мер поддержки, снижает риски формального участия и позволяет концентрировать ресурсы на компаниях, демонстрирующих устойчивое управление, социально ориентированные практики и ответственное экологическое поведение. В результате формируются дополнительные возможности для развития социального инвестирования и социального партнерства в Тульской области, включая реализацию проектов, направленных на повышение качества жизни населения, развитие человеческого капитала, укрепление здоровья работников, поддержку семей и местных сообществ, а также сокращение негативного воздействия на окружающую среду.</w:t>
      </w:r>
    </w:p>
    <w:p>
      <w:pPr>
        <w:pStyle w:val="0"/>
        <w:spacing w:before="200" w:lineRule="auto"/>
        <w:ind w:firstLine="540"/>
        <w:jc w:val="both"/>
      </w:pPr>
      <w:r>
        <w:rPr>
          <w:sz w:val="20"/>
        </w:rPr>
        <w:t xml:space="preserve">Вместе с тем, в регионе созданы условия, обеспечивающие взаимодействие компаний, имеющих статус ответственного субъекта предпринимательской деятельности, с руководством региона, путем их включения в инвестиционный комитет Тульской области, региональную инвестиционную комиссию по проведению отбора инвестиционных проектов, претендующих на получение государственной поддержки.</w:t>
      </w:r>
    </w:p>
    <w:p>
      <w:pPr>
        <w:pStyle w:val="0"/>
        <w:spacing w:before="200" w:lineRule="auto"/>
        <w:ind w:firstLine="540"/>
        <w:jc w:val="both"/>
      </w:pPr>
      <w:r>
        <w:rPr>
          <w:sz w:val="20"/>
        </w:rPr>
        <w:t xml:space="preserve">В Тульской области действует мера, направленная на информирование граждан об индексе деловой репутации работодателей (ЭКГ-рейтинге).</w:t>
      </w:r>
    </w:p>
    <w:p>
      <w:pPr>
        <w:pStyle w:val="0"/>
        <w:spacing w:before="200" w:lineRule="auto"/>
        <w:ind w:firstLine="540"/>
        <w:jc w:val="both"/>
      </w:pPr>
      <w:r>
        <w:rPr>
          <w:sz w:val="20"/>
        </w:rPr>
        <w:t xml:space="preserve">Стратегическая цель - сформировать устойчивую региональную экосистему стимулов, при которой ответственное ведение бизнеса становится конкурентным преимуществом компаний и одновременно дает измеримый вклад в качество жизни, экологическую устойчивость и инвестиционную привлекательность Тульской области.</w:t>
      </w:r>
    </w:p>
    <w:p>
      <w:pPr>
        <w:pStyle w:val="0"/>
        <w:spacing w:before="200" w:lineRule="auto"/>
        <w:ind w:firstLine="540"/>
        <w:jc w:val="both"/>
      </w:pPr>
      <w:r>
        <w:rPr>
          <w:sz w:val="20"/>
        </w:rPr>
        <w:t xml:space="preserve">Выполнение указанных задач предполагает проведение следующих мероприятий:</w:t>
      </w:r>
    </w:p>
    <w:p>
      <w:pPr>
        <w:pStyle w:val="0"/>
        <w:spacing w:before="200" w:lineRule="auto"/>
        <w:ind w:firstLine="540"/>
        <w:jc w:val="both"/>
      </w:pPr>
      <w:r>
        <w:rPr>
          <w:sz w:val="20"/>
        </w:rPr>
        <w:t xml:space="preserve">анализ действующего законодательства с целью выявления пробелов и противоречий, препятствующих развитию ответственного бизнеса;</w:t>
      </w:r>
    </w:p>
    <w:p>
      <w:pPr>
        <w:pStyle w:val="0"/>
        <w:spacing w:before="200" w:lineRule="auto"/>
        <w:ind w:firstLine="540"/>
        <w:jc w:val="both"/>
      </w:pPr>
      <w:r>
        <w:rPr>
          <w:sz w:val="20"/>
        </w:rPr>
        <w:t xml:space="preserve">разработка и внесение изменений в региональные нормативные акты, расширяющих перечень льгот и преференций для субъектов ответственного бизнеса;</w:t>
      </w:r>
    </w:p>
    <w:p>
      <w:pPr>
        <w:pStyle w:val="0"/>
        <w:spacing w:before="200" w:lineRule="auto"/>
        <w:ind w:firstLine="540"/>
        <w:jc w:val="both"/>
      </w:pPr>
      <w:r>
        <w:rPr>
          <w:sz w:val="20"/>
        </w:rPr>
        <w:t xml:space="preserve">проведение информационно-консультационной работы с субъектами предпринимательской деятельности региона с целью освещения льгот и условий ответственного ведения бизнеса;</w:t>
      </w:r>
    </w:p>
    <w:p>
      <w:pPr>
        <w:pStyle w:val="0"/>
        <w:spacing w:before="200" w:lineRule="auto"/>
        <w:ind w:firstLine="540"/>
        <w:jc w:val="both"/>
      </w:pPr>
      <w:r>
        <w:rPr>
          <w:sz w:val="20"/>
        </w:rPr>
        <w:t xml:space="preserve">проведение мониторинга с целью выявления проблемных вопросов, возникающих у субъектов ответственного бизнеса в процессе осуществления их деятельности, в том числе получения мер поддержки.</w:t>
      </w:r>
    </w:p>
    <w:p>
      <w:pPr>
        <w:pStyle w:val="0"/>
      </w:pPr>
      <w:r>
        <w:rPr>
          <w:sz w:val="20"/>
        </w:rPr>
      </w:r>
    </w:p>
    <w:p>
      <w:pPr>
        <w:pStyle w:val="2"/>
        <w:outlineLvl w:val="2"/>
        <w:jc w:val="center"/>
      </w:pPr>
      <w:r>
        <w:rPr>
          <w:sz w:val="20"/>
        </w:rPr>
        <w:t xml:space="preserve">5.8. Создание благоприятных условий</w:t>
      </w:r>
    </w:p>
    <w:p>
      <w:pPr>
        <w:pStyle w:val="2"/>
        <w:jc w:val="center"/>
      </w:pPr>
      <w:r>
        <w:rPr>
          <w:sz w:val="20"/>
        </w:rPr>
        <w:t xml:space="preserve">для ведения инвестиционной деятельности</w:t>
      </w:r>
    </w:p>
    <w:p>
      <w:pPr>
        <w:pStyle w:val="0"/>
      </w:pPr>
      <w:r>
        <w:rPr>
          <w:sz w:val="20"/>
        </w:rPr>
      </w:r>
    </w:p>
    <w:p>
      <w:pPr>
        <w:pStyle w:val="0"/>
        <w:ind w:firstLine="540"/>
        <w:jc w:val="both"/>
      </w:pPr>
      <w:r>
        <w:rPr>
          <w:sz w:val="20"/>
        </w:rPr>
        <w:t xml:space="preserve">Особое внимание уделяется улучшению инвестиционного климата региона в целях увеличения объемов инвестиций в основной капитал и количества экспортно-ориентированных инвестиционных проектов. Актуальность обусловлена необходимостью технологической модернизации мощностей региональных компаний, локализации нетрадиционных для области производств, разработки и выпуска инновационной, конкурентоспособной на внутреннем и мировом рынках продукции с высокой добавленной стоимостью.</w:t>
      </w:r>
    </w:p>
    <w:p>
      <w:pPr>
        <w:pStyle w:val="0"/>
        <w:spacing w:before="200" w:lineRule="auto"/>
        <w:ind w:firstLine="540"/>
        <w:jc w:val="both"/>
      </w:pPr>
      <w:r>
        <w:rPr>
          <w:sz w:val="20"/>
        </w:rPr>
        <w:t xml:space="preserve">В рамках национального проекта "Эффективная и конкурентная экономика" реализуется региональный проект "Повышение инвестиционной активности" в результате которого будут созданы, модернизированы и (или) реконструированы объекты инфраструктуры особой экономической зоны промышленно-производственного типа "Узловая".</w:t>
      </w:r>
    </w:p>
    <w:p>
      <w:pPr>
        <w:pStyle w:val="0"/>
        <w:spacing w:before="200" w:lineRule="auto"/>
        <w:ind w:firstLine="540"/>
        <w:jc w:val="both"/>
      </w:pPr>
      <w:r>
        <w:rPr>
          <w:sz w:val="20"/>
        </w:rPr>
        <w:t xml:space="preserve">Объем инвестиций в основной капитал по итогам 9 месяцев 2025 года увеличился на 10,5% по сравнению с аналогичным периодом прошлого года и составил порядка 205,6 млрд. рублей. Среди регионов ЦФО Тульская область по объему инвестиций занимает 4 место, по темпам роста - 3 место.</w:t>
      </w:r>
    </w:p>
    <w:p>
      <w:pPr>
        <w:pStyle w:val="0"/>
        <w:spacing w:before="200" w:lineRule="auto"/>
        <w:ind w:firstLine="540"/>
        <w:jc w:val="both"/>
      </w:pPr>
      <w:r>
        <w:rPr>
          <w:sz w:val="20"/>
        </w:rPr>
        <w:t xml:space="preserve">Региональным институтом развития, занимающимся привлечением инвестиций в Тульскую область, сопровождением инвестиционных проектов, созданием и развитием индустриального парка и особой экономической зоны является акционерное общество "Региональная Корпорация развития и поддержки Тульской области" (далее Корпорация развития).</w:t>
      </w:r>
    </w:p>
    <w:p>
      <w:pPr>
        <w:pStyle w:val="0"/>
        <w:spacing w:before="200" w:lineRule="auto"/>
        <w:ind w:firstLine="540"/>
        <w:jc w:val="both"/>
      </w:pPr>
      <w:r>
        <w:rPr>
          <w:sz w:val="20"/>
        </w:rPr>
        <w:t xml:space="preserve">Корпорация развития является "единым окном" для инвестора и оказывает полный комплекс услуг по сопровождению инвестиционного проекта - подбор земельного участка, обеспеченного необходимой инфраструктурой, административное и техническое сопровождение проекта. Консультационные услуги предоставляются на безвозмездной основе.</w:t>
      </w:r>
    </w:p>
    <w:p>
      <w:pPr>
        <w:pStyle w:val="0"/>
        <w:spacing w:before="200" w:lineRule="auto"/>
        <w:ind w:firstLine="540"/>
        <w:jc w:val="both"/>
      </w:pPr>
      <w:r>
        <w:rPr>
          <w:sz w:val="20"/>
        </w:rPr>
        <w:t xml:space="preserve">Корпорация развития осуществляет функции управляющей компании индустриального парка и ОЭЗ "Узловая", что позволяет оперативно предоставлять потенциальным инвесторам варианты интересующего их налогового, таможенного регулирования, а также варианты обеспечения площадок инфраструктурой.</w:t>
      </w:r>
    </w:p>
    <w:p>
      <w:pPr>
        <w:pStyle w:val="0"/>
        <w:spacing w:before="200" w:lineRule="auto"/>
        <w:ind w:firstLine="540"/>
        <w:jc w:val="both"/>
      </w:pPr>
      <w:r>
        <w:rPr>
          <w:sz w:val="20"/>
        </w:rPr>
        <w:t xml:space="preserve">Для реализации инвестиционных проектов в регионе предусмотрено около 250 площадок (гринфилд и браунфилд). Созданы особая экономическая зона промышленно-производственного типа "Узловая", индустриальный парк "Узловая", ИНТЦ "Композитная долина".</w:t>
      </w:r>
    </w:p>
    <w:p>
      <w:pPr>
        <w:pStyle w:val="0"/>
        <w:spacing w:before="200" w:lineRule="auto"/>
        <w:ind w:firstLine="540"/>
        <w:jc w:val="both"/>
      </w:pPr>
      <w:r>
        <w:rPr>
          <w:sz w:val="20"/>
        </w:rPr>
        <w:t xml:space="preserve">В 2021 году в Тульской области внедрена система поддержки инвестиционных проектов.</w:t>
      </w:r>
    </w:p>
    <w:p>
      <w:pPr>
        <w:pStyle w:val="0"/>
        <w:spacing w:before="200" w:lineRule="auto"/>
        <w:ind w:firstLine="540"/>
        <w:jc w:val="both"/>
      </w:pPr>
      <w:r>
        <w:rPr>
          <w:sz w:val="20"/>
        </w:rPr>
        <w:t xml:space="preserve">С целью формирования благоприятных условий для ведения инвестиционной деятельности в области действует единый институт развития региона, утвержден инвестиционный комитет, создан и регулярно актуализируется раздел с инвестиционной картой, утверждена инвестиционная декларация, разработан свод инвестиционных правил.</w:t>
      </w:r>
    </w:p>
    <w:p>
      <w:pPr>
        <w:pStyle w:val="0"/>
        <w:spacing w:before="200" w:lineRule="auto"/>
        <w:ind w:firstLine="540"/>
        <w:jc w:val="both"/>
      </w:pPr>
      <w:r>
        <w:rPr>
          <w:sz w:val="20"/>
        </w:rPr>
        <w:t xml:space="preserve">В регионе также функционирует механизм обратной связи с инвестором.</w:t>
      </w:r>
    </w:p>
    <w:p>
      <w:pPr>
        <w:pStyle w:val="0"/>
        <w:spacing w:before="200" w:lineRule="auto"/>
        <w:ind w:firstLine="540"/>
        <w:jc w:val="both"/>
      </w:pPr>
      <w:r>
        <w:rPr>
          <w:sz w:val="20"/>
        </w:rPr>
        <w:t xml:space="preserve">В настоящее время на территории региона реализуется более 120 инвестиционных проектов, направленных в том числе на укрепление экспортного потенциала и увеличение внешнеторгового оборота (инвестиции - более 580 млрд. рублей, более 40 тысяч рабочих мест).</w:t>
      </w:r>
    </w:p>
    <w:p>
      <w:pPr>
        <w:pStyle w:val="0"/>
      </w:pPr>
      <w:r>
        <w:rPr>
          <w:sz w:val="20"/>
        </w:rPr>
      </w:r>
    </w:p>
    <w:p>
      <w:pPr>
        <w:pStyle w:val="2"/>
        <w:outlineLvl w:val="2"/>
        <w:jc w:val="center"/>
      </w:pPr>
      <w:r>
        <w:rPr>
          <w:sz w:val="20"/>
        </w:rPr>
        <w:t xml:space="preserve">5.9. Развитие системы выявления и противодействия</w:t>
      </w:r>
    </w:p>
    <w:p>
      <w:pPr>
        <w:pStyle w:val="2"/>
        <w:jc w:val="center"/>
      </w:pPr>
      <w:r>
        <w:rPr>
          <w:sz w:val="20"/>
        </w:rPr>
        <w:t xml:space="preserve">теневой занятости</w:t>
      </w:r>
    </w:p>
    <w:p>
      <w:pPr>
        <w:pStyle w:val="0"/>
      </w:pPr>
      <w:r>
        <w:rPr>
          <w:sz w:val="20"/>
        </w:rPr>
      </w:r>
    </w:p>
    <w:p>
      <w:pPr>
        <w:pStyle w:val="0"/>
        <w:ind w:firstLine="540"/>
        <w:jc w:val="both"/>
      </w:pPr>
      <w:r>
        <w:rPr>
          <w:sz w:val="20"/>
        </w:rPr>
        <w:t xml:space="preserve">Система выявления и противодействия теневой занятости является одним из приоритетных направлений социально-экономической политики региона. Наибольшее распространение неофициальной занятости наблюдается в сферах малого бизнеса, строительства, сельского хозяйства и услуг населению.</w:t>
      </w:r>
    </w:p>
    <w:p>
      <w:pPr>
        <w:pStyle w:val="0"/>
        <w:spacing w:before="200" w:lineRule="auto"/>
        <w:ind w:firstLine="540"/>
        <w:jc w:val="both"/>
      </w:pPr>
      <w:r>
        <w:rPr>
          <w:sz w:val="20"/>
        </w:rPr>
        <w:t xml:space="preserve">Распространенность теневых трудовых отношений негативно влияет на собираемость налогов, пенсионное обеспечение работников и социальную стабильность населения.</w:t>
      </w:r>
    </w:p>
    <w:p>
      <w:pPr>
        <w:pStyle w:val="0"/>
        <w:spacing w:before="200" w:lineRule="auto"/>
        <w:ind w:firstLine="540"/>
        <w:jc w:val="both"/>
      </w:pPr>
      <w:r>
        <w:rPr>
          <w:sz w:val="20"/>
        </w:rPr>
        <w:t xml:space="preserve">Стратегическая цель - снижение уровня теневой занятости путем реализации комплекса мероприятий, направленных на повышение прозрачности и легализации экономических процессов.</w:t>
      </w:r>
    </w:p>
    <w:p>
      <w:pPr>
        <w:pStyle w:val="0"/>
        <w:spacing w:before="200" w:lineRule="auto"/>
        <w:ind w:firstLine="540"/>
        <w:jc w:val="both"/>
      </w:pPr>
      <w:r>
        <w:rPr>
          <w:sz w:val="20"/>
        </w:rPr>
        <w:t xml:space="preserve">Достижение данной стратегической цели потребует решения следующих основных задач:</w:t>
      </w:r>
    </w:p>
    <w:p>
      <w:pPr>
        <w:pStyle w:val="0"/>
        <w:spacing w:before="200" w:lineRule="auto"/>
        <w:ind w:firstLine="540"/>
        <w:jc w:val="both"/>
      </w:pPr>
      <w:r>
        <w:rPr>
          <w:sz w:val="20"/>
        </w:rPr>
        <w:t xml:space="preserve">совершенствование механизмов контрольных функций органов власти;</w:t>
      </w:r>
    </w:p>
    <w:p>
      <w:pPr>
        <w:pStyle w:val="0"/>
        <w:spacing w:before="200" w:lineRule="auto"/>
        <w:ind w:firstLine="540"/>
        <w:jc w:val="both"/>
      </w:pPr>
      <w:r>
        <w:rPr>
          <w:sz w:val="20"/>
        </w:rPr>
        <w:t xml:space="preserve">улучшение информированности работодателей и сотрудников относительно последствий уклонения от уплаты налогов и обязательств перед государством;</w:t>
      </w:r>
    </w:p>
    <w:p>
      <w:pPr>
        <w:pStyle w:val="0"/>
        <w:spacing w:before="200" w:lineRule="auto"/>
        <w:ind w:firstLine="540"/>
        <w:jc w:val="both"/>
      </w:pPr>
      <w:r>
        <w:rPr>
          <w:sz w:val="20"/>
        </w:rPr>
        <w:t xml:space="preserve">создание привлекательных условий для перехода организаций из тени в официальную экономику;</w:t>
      </w:r>
    </w:p>
    <w:p>
      <w:pPr>
        <w:pStyle w:val="0"/>
        <w:spacing w:before="200" w:lineRule="auto"/>
        <w:ind w:firstLine="540"/>
        <w:jc w:val="both"/>
      </w:pPr>
      <w:r>
        <w:rPr>
          <w:sz w:val="20"/>
        </w:rPr>
        <w:t xml:space="preserve">активизация сотрудничества с бизнесом для повышения эффективности выявляемых нарушений.</w:t>
      </w:r>
    </w:p>
    <w:p>
      <w:pPr>
        <w:pStyle w:val="0"/>
        <w:spacing w:before="200" w:lineRule="auto"/>
        <w:ind w:firstLine="540"/>
        <w:jc w:val="both"/>
      </w:pPr>
      <w:r>
        <w:rPr>
          <w:sz w:val="20"/>
        </w:rPr>
        <w:t xml:space="preserve">Выполнение указанных задач предполагает проведение следующих мероприятий в сфере развития системы выявления и противодействия теневой занятости:</w:t>
      </w:r>
    </w:p>
    <w:p>
      <w:pPr>
        <w:pStyle w:val="0"/>
        <w:spacing w:before="200" w:lineRule="auto"/>
        <w:ind w:firstLine="540"/>
        <w:jc w:val="both"/>
      </w:pPr>
      <w:r>
        <w:rPr>
          <w:sz w:val="20"/>
        </w:rPr>
        <w:t xml:space="preserve">усиление роли профсоюзов и общественных объединений в контроле над условиями труда;</w:t>
      </w:r>
    </w:p>
    <w:p>
      <w:pPr>
        <w:pStyle w:val="0"/>
        <w:spacing w:before="200" w:lineRule="auto"/>
        <w:ind w:firstLine="540"/>
        <w:jc w:val="both"/>
      </w:pPr>
      <w:r>
        <w:rPr>
          <w:sz w:val="20"/>
        </w:rPr>
        <w:t xml:space="preserve">поддержка малых и средних предприятий, желающих перейти на полную отчетность и уплату налогов;</w:t>
      </w:r>
    </w:p>
    <w:p>
      <w:pPr>
        <w:pStyle w:val="0"/>
        <w:spacing w:before="200" w:lineRule="auto"/>
        <w:ind w:firstLine="540"/>
        <w:jc w:val="both"/>
      </w:pPr>
      <w:r>
        <w:rPr>
          <w:sz w:val="20"/>
        </w:rPr>
        <w:t xml:space="preserve">информирование граждан о последствиях работы без оформления официальных трудовых договоров;</w:t>
      </w:r>
    </w:p>
    <w:p>
      <w:pPr>
        <w:pStyle w:val="0"/>
        <w:spacing w:before="200" w:lineRule="auto"/>
        <w:ind w:firstLine="540"/>
        <w:jc w:val="both"/>
      </w:pPr>
      <w:r>
        <w:rPr>
          <w:sz w:val="20"/>
        </w:rPr>
        <w:t xml:space="preserve">формирование информационно-просветительной кампании среди населения и представителей бизнеса;</w:t>
      </w:r>
    </w:p>
    <w:p>
      <w:pPr>
        <w:pStyle w:val="0"/>
        <w:spacing w:before="200" w:lineRule="auto"/>
        <w:ind w:firstLine="540"/>
        <w:jc w:val="both"/>
      </w:pPr>
      <w:r>
        <w:rPr>
          <w:sz w:val="20"/>
        </w:rPr>
        <w:t xml:space="preserve">укрепление взаимодействия между органами исполнительной власти, правоохранительными структурами и профессиональными объединениями.</w:t>
      </w:r>
    </w:p>
    <w:p>
      <w:pPr>
        <w:pStyle w:val="0"/>
        <w:spacing w:before="200" w:lineRule="auto"/>
        <w:ind w:firstLine="540"/>
        <w:jc w:val="both"/>
      </w:pPr>
      <w:r>
        <w:rPr>
          <w:sz w:val="20"/>
        </w:rPr>
        <w:t xml:space="preserve">Таким образом, комплекс указанных мер позволит эффективно бороться с теневыми трудовыми отношениями и способствовать развитию прозрачной и стабильной экономики Тульской области.</w:t>
      </w:r>
    </w:p>
    <w:p>
      <w:pPr>
        <w:pStyle w:val="0"/>
      </w:pPr>
      <w:r>
        <w:rPr>
          <w:sz w:val="20"/>
        </w:rPr>
      </w:r>
    </w:p>
    <w:p>
      <w:pPr>
        <w:pStyle w:val="2"/>
        <w:outlineLvl w:val="1"/>
        <w:jc w:val="center"/>
      </w:pPr>
      <w:r>
        <w:rPr>
          <w:sz w:val="20"/>
        </w:rPr>
        <w:t xml:space="preserve">6. Научно-инновационное развитие Тульской области</w:t>
      </w:r>
    </w:p>
    <w:p>
      <w:pPr>
        <w:pStyle w:val="0"/>
      </w:pPr>
      <w:r>
        <w:rPr>
          <w:sz w:val="20"/>
        </w:rPr>
      </w:r>
    </w:p>
    <w:p>
      <w:pPr>
        <w:pStyle w:val="0"/>
        <w:ind w:firstLine="540"/>
        <w:jc w:val="both"/>
      </w:pPr>
      <w:r>
        <w:rPr>
          <w:sz w:val="20"/>
        </w:rPr>
        <w:t xml:space="preserve">Тульская область активно развивает свой инновационный потенциал. Регион лидирует в ЦФО и России по ряду ключевых показателей инновационно-технологического развития. В частности, уровень инновационной активности организаций в Тульской области за период с 2016 год по 2020 год удвоился. В 2020 году этот уровень достиг величины 20,2%, что существенно выше средних величин по ЦФО (12,5%) и Российской Федерации (10,8%).</w:t>
      </w:r>
    </w:p>
    <w:p>
      <w:pPr>
        <w:pStyle w:val="0"/>
        <w:spacing w:before="200" w:lineRule="auto"/>
        <w:ind w:firstLine="540"/>
        <w:jc w:val="both"/>
      </w:pPr>
      <w:r>
        <w:rPr>
          <w:sz w:val="20"/>
        </w:rPr>
        <w:t xml:space="preserve">Тульская область - один из ведущих регионов ЦФО по объему отгруженных инновационных товаров, работ и услуг. В 2020 году этот объем составил 131,3 млрд. рублей, что обеспечило региону 4-е место в ЦФО, а в 2024 году - достиг 200,2 млрд. рублей, что позволяет региону сохранять лидирующую позицию. Такой устойчивый рост подчеркивает способность региона не только генерировать новые идеи и технологии, но и успешно трансформировать научные разработки в масштабный экономический продукт.</w:t>
      </w:r>
    </w:p>
    <w:p>
      <w:pPr>
        <w:pStyle w:val="0"/>
        <w:spacing w:before="200" w:lineRule="auto"/>
        <w:ind w:firstLine="540"/>
        <w:jc w:val="both"/>
      </w:pPr>
      <w:r>
        <w:rPr>
          <w:sz w:val="20"/>
        </w:rPr>
        <w:t xml:space="preserve">Внутренние затраты на исследования и разработки в регионе составили 7,9 млрд. рублей в 2024 году Региональная структура расходов выстроена с преобладанием финансирования прикладных исследований и опытно-конструкторских работ, что критически важно для внедрения инноваций непосредственно в производственные процессы.</w:t>
      </w:r>
    </w:p>
    <w:p>
      <w:pPr>
        <w:pStyle w:val="0"/>
        <w:spacing w:before="200" w:lineRule="auto"/>
        <w:ind w:firstLine="540"/>
        <w:jc w:val="both"/>
      </w:pPr>
      <w:r>
        <w:rPr>
          <w:sz w:val="20"/>
        </w:rPr>
        <w:t xml:space="preserve">За последние годы Тульская область добилась значительных успехов в развитии инновационной сферы. По итогам 2024 года в рейтинге инновационного развития субъектов Российской Федерации Тульская область заняла 10-е место. Результат обусловлен высоким процентом молодых исследователей и значительной долей инновационной продукции, основанной на российских разработках, а также наличием собственного кадрового и технологического потенциала, способного генерировать и внедрять отечественные инновации.</w:t>
      </w:r>
    </w:p>
    <w:p>
      <w:pPr>
        <w:pStyle w:val="0"/>
        <w:spacing w:before="200" w:lineRule="auto"/>
        <w:ind w:firstLine="540"/>
        <w:jc w:val="both"/>
      </w:pPr>
      <w:r>
        <w:rPr>
          <w:sz w:val="20"/>
        </w:rPr>
        <w:t xml:space="preserve">Создание в экономике условий для повышения доли высокотехнологичных производств, инновационной, наукоемкой продукции требует совершенствования системы кооперации между наукой и бизнесом.</w:t>
      </w:r>
    </w:p>
    <w:p>
      <w:pPr>
        <w:pStyle w:val="0"/>
        <w:spacing w:before="200" w:lineRule="auto"/>
        <w:ind w:firstLine="540"/>
        <w:jc w:val="both"/>
      </w:pPr>
      <w:r>
        <w:rPr>
          <w:sz w:val="20"/>
        </w:rPr>
        <w:t xml:space="preserve">В регионе уделяется внимание содействию технологической модернизации экономики с использованием научного, кадрового и инфраструктурного потенциала образовательных организаций высшего образования с использованием модели "квалифицированный заказчик". Осуществляется формирование научно-технического задела с учетом потребностей реального сектора экономики в инновационных решениях путем постановки задач для сектора науки в рамках государственного задания на научные исследования посредством сервиса "Технологические запросы от бизнеса" Домена "Наука и инновации".</w:t>
      </w:r>
    </w:p>
    <w:p>
      <w:pPr>
        <w:pStyle w:val="0"/>
        <w:spacing w:before="200" w:lineRule="auto"/>
        <w:ind w:firstLine="540"/>
        <w:jc w:val="both"/>
      </w:pPr>
      <w:r>
        <w:rPr>
          <w:sz w:val="20"/>
        </w:rPr>
        <w:t xml:space="preserve">Исследования, выполняемые на основе технологических запросов от квалифицированных заказчиков, имеют приоритетное значение при проведении научной экспертизы Российской академией наук, а результаты могут быть использованы квалифицированным заказчиком в рамках своей деятельности в части реализации новых технологических решений.</w:t>
      </w:r>
    </w:p>
    <w:p>
      <w:pPr>
        <w:pStyle w:val="0"/>
        <w:spacing w:before="200" w:lineRule="auto"/>
        <w:ind w:firstLine="540"/>
        <w:jc w:val="both"/>
      </w:pPr>
      <w:r>
        <w:rPr>
          <w:sz w:val="20"/>
        </w:rPr>
        <w:t xml:space="preserve">В настоящий момент в регионе ведется создание ИНТЦ "Композитная долина" и действует научно-образовательный центр мирового уровня "ТулаТЕХ" (далее - НОЦ "ТулаТЕХ"). Указанные структуры, наряду с особой экономической зоной "Узловая" и территориями опережающего развития, играют роль ключевых драйверов инновационного роста и привлечения инвестиций. Их успешная работа демонстрирует эффективные механизмы для преодоления разрыва между академической наукой и промышленностью. Например, НОЦ "ТулаТЕХ" с помощью софинансирования из средств федерального гранта создал 10 студенческих конструкторских бюро на базе трех ведущих высших учебных заведений Тульской области.</w:t>
      </w:r>
    </w:p>
    <w:p>
      <w:pPr>
        <w:pStyle w:val="0"/>
        <w:spacing w:before="200" w:lineRule="auto"/>
        <w:ind w:firstLine="540"/>
        <w:jc w:val="both"/>
      </w:pPr>
      <w:r>
        <w:rPr>
          <w:sz w:val="20"/>
        </w:rPr>
        <w:t xml:space="preserve">Одним из ключевых результатов деятельности НОЦ "ТулаТЕХ" является формирование на базе университетов - участников НОЦ "ТулаТЕХ", расположенных в Тульской области (Федеральное государственное бюджетное образовательное учреждение высшего образования "Тульский государственный университет", Федеральное государственное бюджетное образовательное учреждение высшего образования "Тульский государственный педагогический университет им. Л.Н. Толстого", Новомосковский институт (филиал) федерального государственного бюджетного образовательного учреждения высшего образования "Российский химико-технологический университет имени Д.И. Менделеева"), 23 новых лабораторий на 250 рабочих мест, из которых 190 - для молодых ученых.</w:t>
      </w:r>
    </w:p>
    <w:p>
      <w:pPr>
        <w:pStyle w:val="0"/>
        <w:spacing w:before="200" w:lineRule="auto"/>
        <w:ind w:firstLine="540"/>
        <w:jc w:val="both"/>
      </w:pPr>
      <w:r>
        <w:rPr>
          <w:sz w:val="20"/>
        </w:rPr>
        <w:t xml:space="preserve">Развитие инфраструктуры способствовало росту объема научно-исследовательских и опытно-конструкторских работ, выполняемых высшими учебными заведениями в интересах ключевых отраслей промышленности и социальной сферы Тульской области до 530 млн. рублей в 2024 году (2021 - 295 млн. рублей, 2022 - 353 млн. рублей; 2023 - 486 млн. рублей).</w:t>
      </w:r>
    </w:p>
    <w:p>
      <w:pPr>
        <w:pStyle w:val="0"/>
        <w:spacing w:before="200" w:lineRule="auto"/>
        <w:ind w:firstLine="540"/>
        <w:jc w:val="both"/>
      </w:pPr>
      <w:r>
        <w:rPr>
          <w:sz w:val="20"/>
        </w:rPr>
        <w:t xml:space="preserve">Деятельность НОЦ "ТулаТЕХ" позволила реализовать 156 образовательных программ, по которым прошли подготовку 3411 сотрудников - участников НОЦ "ТулаТЕХ", в том числе 1166 сотрудников предприятий ОПК Тульской области (34,2% от всего обученных).</w:t>
      </w:r>
    </w:p>
    <w:p>
      <w:pPr>
        <w:pStyle w:val="0"/>
        <w:spacing w:before="200" w:lineRule="auto"/>
        <w:ind w:firstLine="540"/>
        <w:jc w:val="both"/>
      </w:pPr>
      <w:r>
        <w:rPr>
          <w:sz w:val="20"/>
        </w:rPr>
        <w:t xml:space="preserve">На базе федерального государственного бюджетного образовательного учреждения высшего образования "Тульский государственный университет" создана передовая инженерная школа "Тульская инженерная школа "Интеллектуальные оборонные системы". Для Тульской области передовая инженерная школа - ключевой инструмент развития научных школ в области оборонных технологий, а также системы подготовки кадров для промышленности.</w:t>
      </w:r>
    </w:p>
    <w:p>
      <w:pPr>
        <w:pStyle w:val="0"/>
        <w:spacing w:before="200" w:lineRule="auto"/>
        <w:ind w:firstLine="540"/>
        <w:jc w:val="both"/>
      </w:pPr>
      <w:r>
        <w:rPr>
          <w:sz w:val="20"/>
        </w:rPr>
        <w:t xml:space="preserve">Участие Федерального государственного бюджетного образовательного учреждения высшего образования "Тульский государственный университет", Федерального государственного бюджетного образовательного учреждения высшего образования "Тульский государственный педагогический университет им. Л.Н. Толстого" в программе "Приоритет-2030" является одним из ключевых мероприятий комплексного социально-экономического развития Тульской области. Общий объем региональной поддержки университетов с 2021 по 2024 год составил 354,4 млн. рублей, что позволило сформировать основу для реализации в регионе федерального проекта ИНТЦ "Композитная долина", включающую лабораторную инфраструктуру и компетентные научные кадры.</w:t>
      </w:r>
    </w:p>
    <w:p>
      <w:pPr>
        <w:pStyle w:val="0"/>
        <w:spacing w:before="200" w:lineRule="auto"/>
        <w:ind w:firstLine="540"/>
        <w:jc w:val="both"/>
      </w:pPr>
      <w:r>
        <w:rPr>
          <w:sz w:val="20"/>
        </w:rPr>
        <w:t xml:space="preserve">Тульская область активно включена в реализацию мероприятий плана Десятилетия науки и технологий.</w:t>
      </w:r>
    </w:p>
    <w:p>
      <w:pPr>
        <w:pStyle w:val="0"/>
        <w:spacing w:before="200" w:lineRule="auto"/>
        <w:ind w:firstLine="540"/>
        <w:jc w:val="both"/>
      </w:pPr>
      <w:r>
        <w:rPr>
          <w:sz w:val="20"/>
        </w:rPr>
        <w:t xml:space="preserve">В реализации Плана принимают участие индустриальные партнеры ключевых отраслей промышленности, предприятия ОПК, химической промышленности, образовательные организации высшего образования, общественные организации, НОЦ "ТулаТЕХ", ИНТЦ "Композитная долина", а также органы исполнительной власти Тульской области.</w:t>
      </w:r>
    </w:p>
    <w:p>
      <w:pPr>
        <w:pStyle w:val="0"/>
        <w:spacing w:before="200" w:lineRule="auto"/>
        <w:ind w:firstLine="540"/>
        <w:jc w:val="both"/>
      </w:pPr>
      <w:r>
        <w:rPr>
          <w:sz w:val="20"/>
        </w:rPr>
        <w:t xml:space="preserve">В 2025 году в Тульской области в рамках Десятилетия науки и технологий проведено 103 мероприятия, самым крупным из которых является ежегодное мероприятие "Неделя науки в Тульской области", приуроченное ко Дню российской науки. Количество участников мероприятий Плана в 2025 году превысило 72 тыс. человек.</w:t>
      </w:r>
    </w:p>
    <w:p>
      <w:pPr>
        <w:pStyle w:val="0"/>
        <w:spacing w:before="200" w:lineRule="auto"/>
        <w:ind w:firstLine="540"/>
        <w:jc w:val="both"/>
      </w:pPr>
      <w:r>
        <w:rPr>
          <w:sz w:val="20"/>
        </w:rPr>
        <w:t xml:space="preserve">Ключевым ежегодным мероприятием, проводимым в рамках Десятилетия науки и технологий, является Конгресс молодых ученых (далее - Конгресс). Делегация Тульской области регулярно принимает в нем активное участие как в выставочной экспозиции, так и в деловой программе.</w:t>
      </w:r>
    </w:p>
    <w:p>
      <w:pPr>
        <w:pStyle w:val="0"/>
        <w:spacing w:before="200" w:lineRule="auto"/>
        <w:ind w:firstLine="540"/>
        <w:jc w:val="both"/>
      </w:pPr>
      <w:r>
        <w:rPr>
          <w:sz w:val="20"/>
        </w:rPr>
        <w:t xml:space="preserve">В 2025 году Тульская область впервые стала площадкой проведения мероприятия - спутника Конгресса. В рамках мероприятия - спутника Конгресса в Туле ведущие исследователи со всей страны совместно разрабатывали практические технологические решения по актуальным для региона задачам. Для проектной работы экспертов-участников выбраны с учетом региональной повестки следующие направления: разработка и применение композитных материалов, БАС, а также биотехнологии.</w:t>
      </w:r>
    </w:p>
    <w:p>
      <w:pPr>
        <w:pStyle w:val="0"/>
        <w:spacing w:before="200" w:lineRule="auto"/>
        <w:ind w:firstLine="540"/>
        <w:jc w:val="both"/>
      </w:pPr>
      <w:r>
        <w:rPr>
          <w:sz w:val="20"/>
        </w:rPr>
        <w:t xml:space="preserve">Всего в мероприятии-спутнике Конгресса приняли участие 116 ученых из 25 городов страны. Они посетили 5 объектов, в том числе площадки таких крупных предприятий региона, как Косогорский металлургический завод и металлопрокатный завод "Промрост-Тула".</w:t>
      </w:r>
    </w:p>
    <w:p>
      <w:pPr>
        <w:pStyle w:val="0"/>
        <w:spacing w:before="200" w:lineRule="auto"/>
        <w:ind w:firstLine="540"/>
        <w:jc w:val="both"/>
      </w:pPr>
      <w:r>
        <w:rPr>
          <w:sz w:val="20"/>
        </w:rPr>
        <w:t xml:space="preserve">Также в рамках мероприятия-спутника Конгресса прошел форум по сохранению исторической памяти, приуроченный к 80-летию Великой Победы. Ведущие российские и тульские историки обсудили проблемы сохранения исторической памяти о Великой Отечественной войне и миссию учителя в этом процессе.</w:t>
      </w:r>
    </w:p>
    <w:p>
      <w:pPr>
        <w:pStyle w:val="0"/>
        <w:spacing w:before="200" w:lineRule="auto"/>
        <w:ind w:firstLine="540"/>
        <w:jc w:val="both"/>
      </w:pPr>
      <w:r>
        <w:rPr>
          <w:sz w:val="20"/>
        </w:rPr>
        <w:t xml:space="preserve">В области реализуется целый комплекс мер государственной поддержки, в том числе:</w:t>
      </w:r>
    </w:p>
    <w:p>
      <w:pPr>
        <w:pStyle w:val="0"/>
        <w:spacing w:before="200" w:lineRule="auto"/>
        <w:ind w:firstLine="540"/>
        <w:jc w:val="both"/>
      </w:pPr>
      <w:r>
        <w:rPr>
          <w:sz w:val="20"/>
        </w:rPr>
        <w:t xml:space="preserve">гранты Правительства Тульской области в сфере науки и техники;</w:t>
      </w:r>
    </w:p>
    <w:p>
      <w:pPr>
        <w:pStyle w:val="0"/>
        <w:spacing w:before="200" w:lineRule="auto"/>
        <w:ind w:firstLine="540"/>
        <w:jc w:val="both"/>
      </w:pPr>
      <w:r>
        <w:rPr>
          <w:sz w:val="20"/>
        </w:rPr>
        <w:t xml:space="preserve">гранты в форме субсидий образовательным организациям высшего образования на проведение научных исследований ("Мегагранты");</w:t>
      </w:r>
    </w:p>
    <w:p>
      <w:pPr>
        <w:pStyle w:val="0"/>
        <w:spacing w:before="200" w:lineRule="auto"/>
        <w:ind w:firstLine="540"/>
        <w:jc w:val="both"/>
      </w:pPr>
      <w:r>
        <w:rPr>
          <w:sz w:val="20"/>
        </w:rPr>
        <w:t xml:space="preserve">гранты в форме субсидий на проекты в сфере фундаментальных научных исследований и поисковых научных исследований (при паритетном финансировании Российского научного фонда);</w:t>
      </w:r>
    </w:p>
    <w:p>
      <w:pPr>
        <w:pStyle w:val="0"/>
        <w:spacing w:before="200" w:lineRule="auto"/>
        <w:ind w:firstLine="540"/>
        <w:jc w:val="both"/>
      </w:pPr>
      <w:r>
        <w:rPr>
          <w:sz w:val="20"/>
        </w:rPr>
        <w:t xml:space="preserve">именные стипендии Правительства Тульской области аспирантам, обучающимся (прикрепленным) в образовательных организациях высшего образования на территории Тульской области;</w:t>
      </w:r>
    </w:p>
    <w:p>
      <w:pPr>
        <w:pStyle w:val="0"/>
        <w:spacing w:before="200" w:lineRule="auto"/>
        <w:ind w:firstLine="540"/>
        <w:jc w:val="both"/>
      </w:pPr>
      <w:r>
        <w:rPr>
          <w:sz w:val="20"/>
        </w:rPr>
        <w:t xml:space="preserve">премии Тульской области в сфере науки и техники;</w:t>
      </w:r>
    </w:p>
    <w:p>
      <w:pPr>
        <w:pStyle w:val="0"/>
        <w:spacing w:before="200" w:lineRule="auto"/>
        <w:ind w:firstLine="540"/>
        <w:jc w:val="both"/>
      </w:pPr>
      <w:r>
        <w:rPr>
          <w:sz w:val="20"/>
        </w:rPr>
        <w:t xml:space="preserve">ежегодные премии Правительства Тульской области лучшим молодым ученым;</w:t>
      </w:r>
    </w:p>
    <w:p>
      <w:pPr>
        <w:pStyle w:val="0"/>
        <w:spacing w:before="200" w:lineRule="auto"/>
        <w:ind w:firstLine="540"/>
        <w:jc w:val="both"/>
      </w:pPr>
      <w:r>
        <w:rPr>
          <w:sz w:val="20"/>
        </w:rPr>
        <w:t xml:space="preserve">компенсация найма жилья (ежемесячная денежная компенсация за наем жилого помещения научным работникам (исследователям), осуществляющим профессиональную деятельность в государственных образовательных организациях высшего образования, расположенных на территории Тульской области (за исключением оплаты жилищно-коммунальных услуг);</w:t>
      </w:r>
    </w:p>
    <w:p>
      <w:pPr>
        <w:pStyle w:val="0"/>
        <w:spacing w:before="200" w:lineRule="auto"/>
        <w:ind w:firstLine="540"/>
        <w:jc w:val="both"/>
      </w:pPr>
      <w:r>
        <w:rPr>
          <w:sz w:val="20"/>
        </w:rPr>
        <w:t xml:space="preserve">именные стипендии будущим учителям (обучающимся в Федеральном государственном бюджетном образовательном учреждении высшего образования "Тульский государственный педагогический университет им. Л.Н. Толстого" по направлению подготовки "Педагогическое образование").</w:t>
      </w:r>
    </w:p>
    <w:p>
      <w:pPr>
        <w:pStyle w:val="0"/>
        <w:spacing w:before="200" w:lineRule="auto"/>
        <w:ind w:firstLine="540"/>
        <w:jc w:val="both"/>
      </w:pPr>
      <w:r>
        <w:rPr>
          <w:sz w:val="20"/>
        </w:rPr>
        <w:t xml:space="preserve">Стратегические цели:</w:t>
      </w:r>
    </w:p>
    <w:p>
      <w:pPr>
        <w:pStyle w:val="0"/>
        <w:spacing w:before="200" w:lineRule="auto"/>
        <w:ind w:firstLine="540"/>
        <w:jc w:val="both"/>
      </w:pPr>
      <w:r>
        <w:rPr>
          <w:sz w:val="20"/>
        </w:rPr>
        <w:t xml:space="preserve">повышение эффективности внедрения результатов научно-исследовательских проектов в промышленное использование, позволяющих обеспечить к 2030 году рост доли продукции высокотехнологичных и наукоемких отраслей в ВРП;</w:t>
      </w:r>
    </w:p>
    <w:p>
      <w:pPr>
        <w:pStyle w:val="0"/>
        <w:spacing w:before="200" w:lineRule="auto"/>
        <w:ind w:firstLine="540"/>
        <w:jc w:val="both"/>
      </w:pPr>
      <w:r>
        <w:rPr>
          <w:sz w:val="20"/>
        </w:rPr>
        <w:t xml:space="preserve">формирование региональной научно-образовательной системы подготовки высококвалифицированных специалистов, позволяющей к 2030 году восполнить кадровый дефицит по ключевым отраслям экономики и социальной сферы региона.</w:t>
      </w:r>
    </w:p>
    <w:p>
      <w:pPr>
        <w:pStyle w:val="0"/>
        <w:spacing w:before="200" w:lineRule="auto"/>
        <w:ind w:firstLine="540"/>
        <w:jc w:val="both"/>
      </w:pPr>
      <w:r>
        <w:rPr>
          <w:sz w:val="20"/>
        </w:rPr>
        <w:t xml:space="preserve">Инновационные усилия напрямую связаны с национальными стратегическими приоритетами в условиях глобальных вызовов. Фокус на конкретные крупномасштабные проекты, такие как ИНТЦ "Композитная долина", межвузовский оборонный кампус и центр БАС, формирует целенаправленную стратегию концентрации ресурсов в секторах, где Тульская область может достичь наилучших результатов.</w:t>
      </w:r>
    </w:p>
    <w:p>
      <w:pPr>
        <w:pStyle w:val="0"/>
        <w:spacing w:before="200" w:lineRule="auto"/>
        <w:ind w:firstLine="540"/>
        <w:jc w:val="both"/>
      </w:pPr>
      <w:r>
        <w:rPr>
          <w:sz w:val="20"/>
        </w:rPr>
        <w:t xml:space="preserve">Достижение стратегической цели в научно-технологической сфере Тульской области требует решения следующих основных задач:</w:t>
      </w:r>
    </w:p>
    <w:p>
      <w:pPr>
        <w:pStyle w:val="0"/>
        <w:spacing w:before="200" w:lineRule="auto"/>
        <w:ind w:firstLine="540"/>
        <w:jc w:val="both"/>
      </w:pPr>
      <w:r>
        <w:rPr>
          <w:sz w:val="20"/>
        </w:rPr>
        <w:t xml:space="preserve">увеличение внутренних затрат на исследования и разработки, в том числе за счет увеличения инвестиций со стороны частного бизнеса;</w:t>
      </w:r>
    </w:p>
    <w:p>
      <w:pPr>
        <w:pStyle w:val="0"/>
        <w:spacing w:before="200" w:lineRule="auto"/>
        <w:ind w:firstLine="540"/>
        <w:jc w:val="both"/>
      </w:pPr>
      <w:r>
        <w:rPr>
          <w:sz w:val="20"/>
        </w:rPr>
        <w:t xml:space="preserve">увеличение доли отечественных высокотехнологичных товаров и услуг, созданных на основе собственных линий разработки;</w:t>
      </w:r>
    </w:p>
    <w:p>
      <w:pPr>
        <w:pStyle w:val="0"/>
        <w:spacing w:before="200" w:lineRule="auto"/>
        <w:ind w:firstLine="540"/>
        <w:jc w:val="both"/>
      </w:pPr>
      <w:r>
        <w:rPr>
          <w:sz w:val="20"/>
        </w:rPr>
        <w:t xml:space="preserve">обеспечение роста выручки малых технологических компаний;</w:t>
      </w:r>
    </w:p>
    <w:p>
      <w:pPr>
        <w:pStyle w:val="0"/>
        <w:spacing w:before="200" w:lineRule="auto"/>
        <w:ind w:firstLine="540"/>
        <w:jc w:val="both"/>
      </w:pPr>
      <w:r>
        <w:rPr>
          <w:sz w:val="20"/>
        </w:rPr>
        <w:t xml:space="preserve">обеспечение технологической независимости и формирование новых рынков по таким направлениям, как биоэкономика, сбережение здоровья граждан, продовольственная безопасность, беспилотные авиационные системы, средства производства и автоматизации, транспортная мобильность (включая автономные транспортные средства), экономика данных и цифровая трансформация, искусственный интеллект, новые материалы и химия, перспективные космические технологии и сервисы, новые энергетические технологии (в том числе атомные);</w:t>
      </w:r>
    </w:p>
    <w:p>
      <w:pPr>
        <w:pStyle w:val="0"/>
        <w:spacing w:before="200" w:lineRule="auto"/>
        <w:ind w:firstLine="540"/>
        <w:jc w:val="both"/>
      </w:pPr>
      <w:r>
        <w:rPr>
          <w:sz w:val="20"/>
        </w:rPr>
        <w:t xml:space="preserve">увеличение общей численности иностранных студентов, обучающихся по программам бакалавриата, специалитета, магистратуры.</w:t>
      </w:r>
    </w:p>
    <w:p>
      <w:pPr>
        <w:pStyle w:val="0"/>
        <w:spacing w:before="200" w:lineRule="auto"/>
        <w:ind w:firstLine="540"/>
        <w:jc w:val="both"/>
      </w:pPr>
      <w:r>
        <w:rPr>
          <w:sz w:val="20"/>
        </w:rPr>
        <w:t xml:space="preserve">Выполнение указанных задач предполагает проведение следующих мероприятий в сфере инновационно-технологического развития региона:</w:t>
      </w:r>
    </w:p>
    <w:p>
      <w:pPr>
        <w:pStyle w:val="0"/>
        <w:spacing w:before="200" w:lineRule="auto"/>
        <w:ind w:firstLine="540"/>
        <w:jc w:val="both"/>
      </w:pPr>
      <w:r>
        <w:rPr>
          <w:sz w:val="20"/>
        </w:rPr>
        <w:t xml:space="preserve">развитие межвузовского оборонного кампуса;</w:t>
      </w:r>
    </w:p>
    <w:p>
      <w:pPr>
        <w:pStyle w:val="0"/>
        <w:spacing w:before="200" w:lineRule="auto"/>
        <w:ind w:firstLine="540"/>
        <w:jc w:val="both"/>
      </w:pPr>
      <w:r>
        <w:rPr>
          <w:sz w:val="20"/>
        </w:rPr>
        <w:t xml:space="preserve">развитие ИНТЦ "Композитная долина".</w:t>
      </w:r>
    </w:p>
    <w:p>
      <w:pPr>
        <w:pStyle w:val="0"/>
        <w:spacing w:before="200" w:lineRule="auto"/>
        <w:ind w:firstLine="540"/>
        <w:jc w:val="both"/>
      </w:pPr>
      <w:r>
        <w:rPr>
          <w:sz w:val="20"/>
        </w:rPr>
        <w:t xml:space="preserve">Проект межвузовского оборонного кампуса предусматривает строительство новой и реконструкцию существующей инфраструктуры федерального государственного бюджетного образовательного учреждения высшего образования "Тульский государственный университет" и федерального государственного бюджетного образовательного учреждения высшего образования "Тульский государственный педагогический университет им. Л.Н. Толстого" для повышения качества подготовки высокопрофессиональных кадров для предприятий ОПК и организаций медицинской сферы.</w:t>
      </w:r>
    </w:p>
    <w:p>
      <w:pPr>
        <w:pStyle w:val="0"/>
        <w:spacing w:before="200" w:lineRule="auto"/>
        <w:ind w:firstLine="540"/>
        <w:jc w:val="both"/>
      </w:pPr>
      <w:r>
        <w:rPr>
          <w:sz w:val="20"/>
        </w:rPr>
        <w:t xml:space="preserve">Проект ИНТЦ "Композитная долина" будет реализован в центральной части города Тулы. В соответствии с утвержденной проектно-сметной документацией определено строительство двух научно-лабораторных корпусов, а также общежитие гостиничного типа. Общая площадь зданий составит 34660 кв. м сметной стоимостью 7,2 млрд. рублей.</w:t>
      </w:r>
    </w:p>
    <w:p>
      <w:pPr>
        <w:pStyle w:val="0"/>
      </w:pPr>
      <w:r>
        <w:rPr>
          <w:sz w:val="20"/>
        </w:rPr>
      </w:r>
    </w:p>
    <w:p>
      <w:pPr>
        <w:pStyle w:val="2"/>
        <w:outlineLvl w:val="1"/>
        <w:jc w:val="center"/>
      </w:pPr>
      <w:r>
        <w:rPr>
          <w:sz w:val="20"/>
        </w:rPr>
        <w:t xml:space="preserve">7. Основные направления развития целях</w:t>
      </w:r>
    </w:p>
    <w:p>
      <w:pPr>
        <w:pStyle w:val="2"/>
        <w:jc w:val="center"/>
      </w:pPr>
      <w:r>
        <w:rPr>
          <w:sz w:val="20"/>
        </w:rPr>
        <w:t xml:space="preserve">обеспечения технологического лидерства</w:t>
      </w:r>
    </w:p>
    <w:p>
      <w:pPr>
        <w:pStyle w:val="0"/>
      </w:pPr>
      <w:r>
        <w:rPr>
          <w:sz w:val="20"/>
        </w:rPr>
      </w:r>
    </w:p>
    <w:p>
      <w:pPr>
        <w:pStyle w:val="0"/>
        <w:ind w:firstLine="540"/>
        <w:jc w:val="both"/>
      </w:pPr>
      <w:r>
        <w:rPr>
          <w:sz w:val="20"/>
        </w:rPr>
        <w:t xml:space="preserve">Тульская область является одним из индустриально развитых субъектов Российской Федерации с высокой концентрацией предприятий обрабатывающей промышленности. Обрабатывающий сектор формирует значительную долю валового регионального продукта и налоговых поступлений, а также обеспечивает занятость значительной части трудоспособного населения региона.</w:t>
      </w:r>
    </w:p>
    <w:p>
      <w:pPr>
        <w:pStyle w:val="0"/>
        <w:spacing w:before="200" w:lineRule="auto"/>
        <w:ind w:firstLine="540"/>
        <w:jc w:val="both"/>
      </w:pPr>
      <w:r>
        <w:rPr>
          <w:sz w:val="20"/>
        </w:rPr>
        <w:t xml:space="preserve">Структура промышленного комплекса региона характеризуется следующими особенностями:</w:t>
      </w:r>
    </w:p>
    <w:p>
      <w:pPr>
        <w:pStyle w:val="0"/>
        <w:spacing w:before="200" w:lineRule="auto"/>
        <w:ind w:firstLine="540"/>
        <w:jc w:val="both"/>
      </w:pPr>
      <w:r>
        <w:rPr>
          <w:sz w:val="20"/>
        </w:rPr>
        <w:t xml:space="preserve">развитая химическая промышленность, включая производство минеральных удобрений, химических компонентов и продукции органического синтеза;</w:t>
      </w:r>
    </w:p>
    <w:p>
      <w:pPr>
        <w:pStyle w:val="0"/>
        <w:spacing w:before="200" w:lineRule="auto"/>
        <w:ind w:firstLine="540"/>
        <w:jc w:val="both"/>
      </w:pPr>
      <w:r>
        <w:rPr>
          <w:sz w:val="20"/>
        </w:rPr>
        <w:t xml:space="preserve">металлургия и производство изделий из металла;</w:t>
      </w:r>
    </w:p>
    <w:p>
      <w:pPr>
        <w:pStyle w:val="0"/>
        <w:spacing w:before="200" w:lineRule="auto"/>
        <w:ind w:firstLine="540"/>
        <w:jc w:val="both"/>
      </w:pPr>
      <w:r>
        <w:rPr>
          <w:sz w:val="20"/>
        </w:rPr>
        <w:t xml:space="preserve">машиностроение, включая ОПК;</w:t>
      </w:r>
    </w:p>
    <w:p>
      <w:pPr>
        <w:pStyle w:val="0"/>
        <w:spacing w:before="200" w:lineRule="auto"/>
        <w:ind w:firstLine="540"/>
        <w:jc w:val="both"/>
      </w:pPr>
      <w:r>
        <w:rPr>
          <w:sz w:val="20"/>
        </w:rPr>
        <w:t xml:space="preserve">формирование сегмента производства композитных материалов;</w:t>
      </w:r>
    </w:p>
    <w:p>
      <w:pPr>
        <w:pStyle w:val="0"/>
        <w:spacing w:before="200" w:lineRule="auto"/>
        <w:ind w:firstLine="540"/>
        <w:jc w:val="both"/>
      </w:pPr>
      <w:r>
        <w:rPr>
          <w:sz w:val="20"/>
        </w:rPr>
        <w:t xml:space="preserve">развитие новых высокотехнологичных направлений, включая беспилотные авиационные системы.</w:t>
      </w:r>
    </w:p>
    <w:p>
      <w:pPr>
        <w:pStyle w:val="0"/>
        <w:spacing w:before="200" w:lineRule="auto"/>
        <w:ind w:firstLine="540"/>
        <w:jc w:val="both"/>
      </w:pPr>
      <w:r>
        <w:rPr>
          <w:sz w:val="20"/>
        </w:rPr>
        <w:t xml:space="preserve">В регионе сформирована инфраструктура промышленного развития:</w:t>
      </w:r>
    </w:p>
    <w:p>
      <w:pPr>
        <w:pStyle w:val="0"/>
        <w:spacing w:before="200" w:lineRule="auto"/>
        <w:ind w:firstLine="540"/>
        <w:jc w:val="both"/>
      </w:pPr>
      <w:r>
        <w:rPr>
          <w:sz w:val="20"/>
        </w:rPr>
        <w:t xml:space="preserve">функционирует особая экономическая зона промышленно-производственного типа;</w:t>
      </w:r>
    </w:p>
    <w:p>
      <w:pPr>
        <w:pStyle w:val="0"/>
        <w:spacing w:before="200" w:lineRule="auto"/>
        <w:ind w:firstLine="540"/>
        <w:jc w:val="both"/>
      </w:pPr>
      <w:r>
        <w:rPr>
          <w:sz w:val="20"/>
        </w:rPr>
        <w:t xml:space="preserve">действуют индустриальные парки и территории опережающего развития;</w:t>
      </w:r>
    </w:p>
    <w:p>
      <w:pPr>
        <w:pStyle w:val="0"/>
        <w:spacing w:before="200" w:lineRule="auto"/>
        <w:ind w:firstLine="540"/>
        <w:jc w:val="both"/>
      </w:pPr>
      <w:r>
        <w:rPr>
          <w:sz w:val="20"/>
        </w:rPr>
        <w:t xml:space="preserve">функционирует региональный Фонд развития промышленности;</w:t>
      </w:r>
    </w:p>
    <w:p>
      <w:pPr>
        <w:pStyle w:val="0"/>
        <w:spacing w:before="200" w:lineRule="auto"/>
        <w:ind w:firstLine="540"/>
        <w:jc w:val="both"/>
      </w:pPr>
      <w:r>
        <w:rPr>
          <w:sz w:val="20"/>
        </w:rPr>
        <w:t xml:space="preserve">осуществляется внедрение федерального проекта "Профессионалитет";</w:t>
      </w:r>
    </w:p>
    <w:p>
      <w:pPr>
        <w:pStyle w:val="0"/>
        <w:spacing w:before="200" w:lineRule="auto"/>
        <w:ind w:firstLine="540"/>
        <w:jc w:val="both"/>
      </w:pPr>
      <w:r>
        <w:rPr>
          <w:sz w:val="20"/>
        </w:rPr>
        <w:t xml:space="preserve">создан НПЦ БАС "Туладрон".</w:t>
      </w:r>
    </w:p>
    <w:p>
      <w:pPr>
        <w:pStyle w:val="0"/>
        <w:spacing w:before="200" w:lineRule="auto"/>
        <w:ind w:firstLine="540"/>
        <w:jc w:val="both"/>
      </w:pPr>
      <w:r>
        <w:rPr>
          <w:sz w:val="20"/>
        </w:rPr>
        <w:t xml:space="preserve">Поддержка кооперации науки и производства, а также укрепление системы подготовки высококвалифицированных и научных кадров - ключевые приоритеты стратегии развития Тульской области.</w:t>
      </w:r>
    </w:p>
    <w:p>
      <w:pPr>
        <w:pStyle w:val="0"/>
        <w:spacing w:before="200" w:lineRule="auto"/>
        <w:ind w:firstLine="540"/>
        <w:jc w:val="both"/>
      </w:pPr>
      <w:r>
        <w:rPr>
          <w:sz w:val="20"/>
        </w:rPr>
        <w:t xml:space="preserve">В химической промышленности Тульской области в 2022 - 2024 годы реализован ряд крупных проектов, направленных на импортозамещение и развитие технологического суверенитета.</w:t>
      </w:r>
    </w:p>
    <w:p>
      <w:pPr>
        <w:pStyle w:val="0"/>
        <w:spacing w:before="200" w:lineRule="auto"/>
        <w:ind w:firstLine="540"/>
        <w:jc w:val="both"/>
      </w:pPr>
      <w:r>
        <w:rPr>
          <w:sz w:val="20"/>
        </w:rPr>
        <w:t xml:space="preserve">В 2022 году в регионе создан Центр беспилотных систем, который активно занимается обучением операторов беспилотных летательных аппаратов, а также проектированием, испытанием и сборочным производством беспилотников на отечественном программном обеспечении.</w:t>
      </w:r>
    </w:p>
    <w:p>
      <w:pPr>
        <w:pStyle w:val="0"/>
        <w:spacing w:before="200" w:lineRule="auto"/>
        <w:ind w:firstLine="540"/>
        <w:jc w:val="both"/>
      </w:pPr>
      <w:r>
        <w:rPr>
          <w:sz w:val="20"/>
        </w:rPr>
        <w:t xml:space="preserve">К 2025 году завершено создание НПЦ БАС "Туладрон" на площадях более 5 тыс. кв. метров, оснащенных современным промышленным оборудованием общей стоимостью более 700 млн. рублей. Проект имеет федеральный статус центра испытаний и компетенций в области развития технологий беспилотных авиационных систем, предполагает приобретение необходимого оборудования для осуществления как сборки, так и изготовления комплектующих деталей для беспилотных летательных аппаратов.</w:t>
      </w:r>
    </w:p>
    <w:p>
      <w:pPr>
        <w:pStyle w:val="0"/>
        <w:spacing w:before="200" w:lineRule="auto"/>
        <w:ind w:firstLine="540"/>
        <w:jc w:val="both"/>
      </w:pPr>
      <w:r>
        <w:rPr>
          <w:sz w:val="20"/>
        </w:rPr>
        <w:t xml:space="preserve">НПЦ БАС "Туладрон" является одним из 10 крупнейших в стране и обеспечивает разработку и выпуск военных и гражданских БПЛА, а также материалов и силовых установок для БАС, комплектующих и компонентов систем обнаружения и противодействия БАС, систем машинного зрения для различных задач мониторинга, логистики и автономных полетов.</w:t>
      </w:r>
    </w:p>
    <w:p>
      <w:pPr>
        <w:pStyle w:val="0"/>
        <w:spacing w:before="200" w:lineRule="auto"/>
        <w:ind w:firstLine="540"/>
        <w:jc w:val="both"/>
      </w:pPr>
      <w:r>
        <w:rPr>
          <w:sz w:val="20"/>
        </w:rPr>
        <w:t xml:space="preserve">Мероприятия по созданию и развитию испытательной инфраструктуры для гражданских БАС обеспечат необходимую базу для разработки, производства, тестирования и сертификации новых беспилотных технологий. После запуска производственной площадки планируется строительство летно-испытательного центра (ЛИЦ), включающего Центр управления полетами (с интеграционной платформой для взаимодействия с внешними государственными и частными информационными ресурсами, проектируемой в рамках научно-технической инициативы концепцией "Цифровое небо"), а также создания сети дронпортов для эксплуатации, сервисного обслуживания и испытаний.</w:t>
      </w:r>
    </w:p>
    <w:p>
      <w:pPr>
        <w:pStyle w:val="0"/>
        <w:spacing w:before="200" w:lineRule="auto"/>
        <w:ind w:firstLine="540"/>
        <w:jc w:val="both"/>
      </w:pPr>
      <w:r>
        <w:rPr>
          <w:sz w:val="20"/>
        </w:rPr>
        <w:t xml:space="preserve">С учетом приоритетов национальной политики в сфере технологического суверенитета требуется переход от преимущественно индустриальной модели к модели технологического лидерства, основанной на создании продукции высокой добавленной стоимости, развитии собственных разработок и формировании новых рынков.</w:t>
      </w:r>
    </w:p>
    <w:p>
      <w:pPr>
        <w:pStyle w:val="0"/>
        <w:spacing w:before="200" w:lineRule="auto"/>
        <w:ind w:firstLine="540"/>
        <w:jc w:val="both"/>
      </w:pPr>
      <w:r>
        <w:rPr>
          <w:sz w:val="20"/>
        </w:rPr>
        <w:t xml:space="preserve">Стратегическая цель - формирование в Тульской области устойчивой высокотехнологичной промышленной и научно-производственной экосистемы, обеспечивающей технологическую независимость, создание новых продуктов и повышение конкурентоспособности региональной экономики.</w:t>
      </w:r>
    </w:p>
    <w:p>
      <w:pPr>
        <w:pStyle w:val="0"/>
        <w:spacing w:before="200" w:lineRule="auto"/>
        <w:ind w:firstLine="540"/>
        <w:jc w:val="both"/>
      </w:pPr>
      <w:r>
        <w:rPr>
          <w:sz w:val="20"/>
        </w:rPr>
        <w:t xml:space="preserve">Приоритетом является формирование управляемой системы технологического развития, обеспечивающей полный цикл: постановка технологических задач - научно-исследовательские и опытно-конструкторские работы - внедрение и коммерциализация - масштабирование решений в промышленности и социальной сфере.</w:t>
      </w:r>
    </w:p>
    <w:p>
      <w:pPr>
        <w:pStyle w:val="0"/>
        <w:spacing w:before="200" w:lineRule="auto"/>
        <w:ind w:firstLine="540"/>
        <w:jc w:val="both"/>
      </w:pPr>
      <w:r>
        <w:rPr>
          <w:sz w:val="20"/>
        </w:rPr>
        <w:t xml:space="preserve">Для достижения поставленной цели будут решаться следующие основные задачи:</w:t>
      </w:r>
    </w:p>
    <w:p>
      <w:pPr>
        <w:pStyle w:val="0"/>
        <w:spacing w:before="200" w:lineRule="auto"/>
        <w:ind w:firstLine="540"/>
        <w:jc w:val="both"/>
      </w:pPr>
      <w:r>
        <w:rPr>
          <w:sz w:val="20"/>
        </w:rPr>
        <w:t xml:space="preserve">развитие химической промышленности и расширение выпуска продукции высокой степени переработки;</w:t>
      </w:r>
    </w:p>
    <w:p>
      <w:pPr>
        <w:pStyle w:val="0"/>
        <w:spacing w:before="200" w:lineRule="auto"/>
        <w:ind w:firstLine="540"/>
        <w:jc w:val="both"/>
      </w:pPr>
      <w:r>
        <w:rPr>
          <w:sz w:val="20"/>
        </w:rPr>
        <w:t xml:space="preserve">производство композитных материалов и изделий из них;</w:t>
      </w:r>
    </w:p>
    <w:p>
      <w:pPr>
        <w:pStyle w:val="0"/>
        <w:spacing w:before="200" w:lineRule="auto"/>
        <w:ind w:firstLine="540"/>
        <w:jc w:val="both"/>
      </w:pPr>
      <w:r>
        <w:rPr>
          <w:sz w:val="20"/>
        </w:rPr>
        <w:t xml:space="preserve">импортозамещение критической биотехнологической продукции;</w:t>
      </w:r>
    </w:p>
    <w:p>
      <w:pPr>
        <w:pStyle w:val="0"/>
        <w:spacing w:before="200" w:lineRule="auto"/>
        <w:ind w:firstLine="540"/>
        <w:jc w:val="both"/>
      </w:pPr>
      <w:r>
        <w:rPr>
          <w:sz w:val="20"/>
        </w:rPr>
        <w:t xml:space="preserve">поддержка проектов импортозамещения, в том числе на основе собственных научных и конструкторских разработок;</w:t>
      </w:r>
    </w:p>
    <w:p>
      <w:pPr>
        <w:pStyle w:val="0"/>
        <w:spacing w:before="200" w:lineRule="auto"/>
        <w:ind w:firstLine="540"/>
        <w:jc w:val="both"/>
      </w:pPr>
      <w:r>
        <w:rPr>
          <w:sz w:val="20"/>
        </w:rPr>
        <w:t xml:space="preserve">развитие НПЦ БАС "Туладрон" и резидентов;</w:t>
      </w:r>
    </w:p>
    <w:p>
      <w:pPr>
        <w:pStyle w:val="0"/>
        <w:spacing w:before="200" w:lineRule="auto"/>
        <w:ind w:firstLine="540"/>
        <w:jc w:val="both"/>
      </w:pPr>
      <w:r>
        <w:rPr>
          <w:sz w:val="20"/>
        </w:rPr>
        <w:t xml:space="preserve">обеспечение кадровой потребности высокотехнологичных отраслей;</w:t>
      </w:r>
    </w:p>
    <w:p>
      <w:pPr>
        <w:pStyle w:val="0"/>
        <w:spacing w:before="200" w:lineRule="auto"/>
        <w:ind w:firstLine="540"/>
        <w:jc w:val="both"/>
      </w:pPr>
      <w:r>
        <w:rPr>
          <w:sz w:val="20"/>
        </w:rPr>
        <w:t xml:space="preserve">управление портфелем технологических проектов и трансфер технологий;</w:t>
      </w:r>
    </w:p>
    <w:p>
      <w:pPr>
        <w:pStyle w:val="0"/>
        <w:spacing w:before="200" w:lineRule="auto"/>
        <w:ind w:firstLine="540"/>
        <w:jc w:val="both"/>
      </w:pPr>
      <w:r>
        <w:rPr>
          <w:sz w:val="20"/>
        </w:rPr>
        <w:t xml:space="preserve">взаимодействие с институтами инновационного развития;</w:t>
      </w:r>
    </w:p>
    <w:p>
      <w:pPr>
        <w:pStyle w:val="0"/>
        <w:spacing w:before="200" w:lineRule="auto"/>
        <w:ind w:firstLine="540"/>
        <w:jc w:val="both"/>
      </w:pPr>
      <w:r>
        <w:rPr>
          <w:sz w:val="20"/>
        </w:rPr>
        <w:t xml:space="preserve">развитие малых технологических компаний.</w:t>
      </w:r>
    </w:p>
    <w:p>
      <w:pPr>
        <w:pStyle w:val="0"/>
        <w:spacing w:before="200" w:lineRule="auto"/>
        <w:ind w:firstLine="540"/>
        <w:jc w:val="both"/>
      </w:pPr>
      <w:r>
        <w:rPr>
          <w:sz w:val="20"/>
        </w:rPr>
        <w:t xml:space="preserve">Для выполнения поставленных задач запланированы следующие мероприятия:</w:t>
      </w:r>
    </w:p>
    <w:p>
      <w:pPr>
        <w:pStyle w:val="0"/>
        <w:spacing w:before="200" w:lineRule="auto"/>
        <w:ind w:firstLine="540"/>
        <w:jc w:val="both"/>
      </w:pPr>
      <w:r>
        <w:rPr>
          <w:sz w:val="20"/>
        </w:rPr>
        <w:t xml:space="preserve">модернизация и расширение действующих химических производств с внедрением технологий глубокой переработки сырья;</w:t>
      </w:r>
    </w:p>
    <w:p>
      <w:pPr>
        <w:pStyle w:val="0"/>
        <w:spacing w:before="200" w:lineRule="auto"/>
        <w:ind w:firstLine="540"/>
        <w:jc w:val="both"/>
      </w:pPr>
      <w:r>
        <w:rPr>
          <w:sz w:val="20"/>
        </w:rPr>
        <w:t xml:space="preserve">развитие производства малотоннажной химии и специальных химических компонентов, критически важных для машиностроения, ОПК, агропромышленного комплекса и фармацевтики;</w:t>
      </w:r>
    </w:p>
    <w:p>
      <w:pPr>
        <w:pStyle w:val="0"/>
        <w:spacing w:before="200" w:lineRule="auto"/>
        <w:ind w:firstLine="540"/>
        <w:jc w:val="both"/>
      </w:pPr>
      <w:r>
        <w:rPr>
          <w:sz w:val="20"/>
        </w:rPr>
        <w:t xml:space="preserve">реализация проектов по выпуску продукции с высокой добавленной стоимостью, в том числе в сегменте специальных реагентов, катализаторов, химических компонентов для новых материалов;</w:t>
      </w:r>
    </w:p>
    <w:p>
      <w:pPr>
        <w:pStyle w:val="0"/>
        <w:spacing w:before="200" w:lineRule="auto"/>
        <w:ind w:firstLine="540"/>
        <w:jc w:val="both"/>
      </w:pPr>
      <w:r>
        <w:rPr>
          <w:sz w:val="20"/>
        </w:rPr>
        <w:t xml:space="preserve">внедрение принципов "зеленой химии" и технологий замкнутого цикла;</w:t>
      </w:r>
    </w:p>
    <w:p>
      <w:pPr>
        <w:pStyle w:val="0"/>
        <w:spacing w:before="200" w:lineRule="auto"/>
        <w:ind w:firstLine="540"/>
        <w:jc w:val="both"/>
      </w:pPr>
      <w:r>
        <w:rPr>
          <w:sz w:val="20"/>
        </w:rPr>
        <w:t xml:space="preserve">поддержка проектов в рамках кластерной инвестиционной платформы и механизмов льготного финансирования Фонда развития промышленности;</w:t>
      </w:r>
    </w:p>
    <w:p>
      <w:pPr>
        <w:pStyle w:val="0"/>
        <w:spacing w:before="200" w:lineRule="auto"/>
        <w:ind w:firstLine="540"/>
        <w:jc w:val="both"/>
      </w:pPr>
      <w:r>
        <w:rPr>
          <w:sz w:val="20"/>
        </w:rPr>
        <w:t xml:space="preserve">развитие научно-технологической кооперации предприятий химической отрасли с образовательными организациями высшего образования и иными научными организациями региона;</w:t>
      </w:r>
    </w:p>
    <w:p>
      <w:pPr>
        <w:pStyle w:val="0"/>
        <w:spacing w:before="200" w:lineRule="auto"/>
        <w:ind w:firstLine="540"/>
        <w:jc w:val="both"/>
      </w:pPr>
      <w:r>
        <w:rPr>
          <w:sz w:val="20"/>
        </w:rPr>
        <w:t xml:space="preserve">развитие инфраструктуры ИНТЦ "Композитная долина" как ключевой площадки концентрации компетенций в области новых материалов;</w:t>
      </w:r>
    </w:p>
    <w:p>
      <w:pPr>
        <w:pStyle w:val="0"/>
        <w:spacing w:before="200" w:lineRule="auto"/>
        <w:ind w:firstLine="540"/>
        <w:jc w:val="both"/>
      </w:pPr>
      <w:r>
        <w:rPr>
          <w:sz w:val="20"/>
        </w:rPr>
        <w:t xml:space="preserve">поддержка проектов по разработке и производству полимерных композитов, углеродных и стекловолоконных материалов, конструкционных композитов для машиностроения, авиационной (в том числе беспилотных авиационных систем), транспортной и строительной отраслей;</w:t>
      </w:r>
    </w:p>
    <w:p>
      <w:pPr>
        <w:pStyle w:val="0"/>
        <w:spacing w:before="200" w:lineRule="auto"/>
        <w:ind w:firstLine="540"/>
        <w:jc w:val="both"/>
      </w:pPr>
      <w:r>
        <w:rPr>
          <w:sz w:val="20"/>
        </w:rPr>
        <w:t xml:space="preserve">формирование межрегиональных производственных цепочек в сфере композитов;</w:t>
      </w:r>
    </w:p>
    <w:p>
      <w:pPr>
        <w:pStyle w:val="0"/>
        <w:spacing w:before="200" w:lineRule="auto"/>
        <w:ind w:firstLine="540"/>
        <w:jc w:val="both"/>
      </w:pPr>
      <w:r>
        <w:rPr>
          <w:sz w:val="20"/>
        </w:rPr>
        <w:t xml:space="preserve">стимулирование внедрения композитных решений в региональные инфраструктурные и строительные проекты;</w:t>
      </w:r>
    </w:p>
    <w:p>
      <w:pPr>
        <w:pStyle w:val="0"/>
        <w:spacing w:before="200" w:lineRule="auto"/>
        <w:ind w:firstLine="540"/>
        <w:jc w:val="both"/>
      </w:pPr>
      <w:r>
        <w:rPr>
          <w:sz w:val="20"/>
        </w:rPr>
        <w:t xml:space="preserve">поддержка развития биотехнологических производств, в том числе сельскохозяйственных биопрепаратов, биосорбентов, субстанций и ферментов;</w:t>
      </w:r>
    </w:p>
    <w:p>
      <w:pPr>
        <w:pStyle w:val="0"/>
        <w:spacing w:before="200" w:lineRule="auto"/>
        <w:ind w:firstLine="540"/>
        <w:jc w:val="both"/>
      </w:pPr>
      <w:r>
        <w:rPr>
          <w:sz w:val="20"/>
        </w:rPr>
        <w:t xml:space="preserve">развитие лабораторной и производственной инфраструктуры для проведения научно-исследовательских и опытно-конструкторских работ в области биотехнологий;</w:t>
      </w:r>
    </w:p>
    <w:p>
      <w:pPr>
        <w:pStyle w:val="0"/>
        <w:spacing w:before="200" w:lineRule="auto"/>
        <w:ind w:firstLine="540"/>
        <w:jc w:val="both"/>
      </w:pPr>
      <w:r>
        <w:rPr>
          <w:sz w:val="20"/>
        </w:rPr>
        <w:t xml:space="preserve">создание условий для трансфера университетских разработок (включая перспективные биотехнологии) в отраслевые предприятия;</w:t>
      </w:r>
    </w:p>
    <w:p>
      <w:pPr>
        <w:pStyle w:val="0"/>
        <w:spacing w:before="200" w:lineRule="auto"/>
        <w:ind w:firstLine="540"/>
        <w:jc w:val="both"/>
      </w:pPr>
      <w:r>
        <w:rPr>
          <w:sz w:val="20"/>
        </w:rPr>
        <w:t xml:space="preserve">внедрение технологических линий по производству отечественных аналогов импортных биотехнологических продуктов;</w:t>
      </w:r>
    </w:p>
    <w:p>
      <w:pPr>
        <w:pStyle w:val="0"/>
        <w:spacing w:before="200" w:lineRule="auto"/>
        <w:ind w:firstLine="540"/>
        <w:jc w:val="both"/>
      </w:pPr>
      <w:r>
        <w:rPr>
          <w:sz w:val="20"/>
        </w:rPr>
        <w:t xml:space="preserve">создание и развитие импортозамещающих производств в приоритетных отраслях промышленности;</w:t>
      </w:r>
    </w:p>
    <w:p>
      <w:pPr>
        <w:pStyle w:val="0"/>
        <w:spacing w:before="200" w:lineRule="auto"/>
        <w:ind w:firstLine="540"/>
        <w:jc w:val="both"/>
      </w:pPr>
      <w:r>
        <w:rPr>
          <w:sz w:val="20"/>
        </w:rPr>
        <w:t xml:space="preserve">поддержка проектов выпуска продукции на основе собственных научных и конструкторских разработок;</w:t>
      </w:r>
    </w:p>
    <w:p>
      <w:pPr>
        <w:pStyle w:val="0"/>
        <w:spacing w:before="200" w:lineRule="auto"/>
        <w:ind w:firstLine="540"/>
        <w:jc w:val="both"/>
      </w:pPr>
      <w:r>
        <w:rPr>
          <w:sz w:val="20"/>
        </w:rPr>
        <w:t xml:space="preserve">содействие в получении федеральных мер поддержки;</w:t>
      </w:r>
    </w:p>
    <w:p>
      <w:pPr>
        <w:pStyle w:val="0"/>
        <w:spacing w:before="200" w:lineRule="auto"/>
        <w:ind w:firstLine="540"/>
        <w:jc w:val="both"/>
      </w:pPr>
      <w:r>
        <w:rPr>
          <w:sz w:val="20"/>
        </w:rPr>
        <w:t xml:space="preserve">создание инфраструктуры НПЦ БАС "ТулаДрон" общей площадью не менее 5000 кв. метров;</w:t>
      </w:r>
    </w:p>
    <w:p>
      <w:pPr>
        <w:pStyle w:val="0"/>
        <w:spacing w:before="200" w:lineRule="auto"/>
        <w:ind w:firstLine="540"/>
        <w:jc w:val="both"/>
      </w:pPr>
      <w:r>
        <w:rPr>
          <w:sz w:val="20"/>
        </w:rPr>
        <w:t xml:space="preserve">запуск и обеспечение заказами производственного и лабораторного комплекса НПЦ БАС "ТулаДрон";</w:t>
      </w:r>
    </w:p>
    <w:p>
      <w:pPr>
        <w:pStyle w:val="0"/>
        <w:spacing w:before="200" w:lineRule="auto"/>
        <w:ind w:firstLine="540"/>
        <w:jc w:val="both"/>
      </w:pPr>
      <w:r>
        <w:rPr>
          <w:sz w:val="20"/>
        </w:rPr>
        <w:t xml:space="preserve">формирование испытательной и сертификационной базы;</w:t>
      </w:r>
    </w:p>
    <w:p>
      <w:pPr>
        <w:pStyle w:val="0"/>
        <w:spacing w:before="200" w:lineRule="auto"/>
        <w:ind w:firstLine="540"/>
        <w:jc w:val="both"/>
      </w:pPr>
      <w:r>
        <w:rPr>
          <w:sz w:val="20"/>
        </w:rPr>
        <w:t xml:space="preserve">развитие резидентной экосистемы НПЦ БАС "ТулаДрон";</w:t>
      </w:r>
    </w:p>
    <w:p>
      <w:pPr>
        <w:pStyle w:val="0"/>
        <w:spacing w:before="200" w:lineRule="auto"/>
        <w:ind w:firstLine="540"/>
        <w:jc w:val="both"/>
      </w:pPr>
      <w:r>
        <w:rPr>
          <w:sz w:val="20"/>
        </w:rPr>
        <w:t xml:space="preserve">поддержка проектов вывода на рынок БАС;</w:t>
      </w:r>
    </w:p>
    <w:p>
      <w:pPr>
        <w:pStyle w:val="0"/>
        <w:spacing w:before="200" w:lineRule="auto"/>
        <w:ind w:firstLine="540"/>
        <w:jc w:val="both"/>
      </w:pPr>
      <w:r>
        <w:rPr>
          <w:sz w:val="20"/>
        </w:rPr>
        <w:t xml:space="preserve">развитие НОЦ "ТулаТЕХ" и передовых инженерных школ;</w:t>
      </w:r>
    </w:p>
    <w:p>
      <w:pPr>
        <w:pStyle w:val="0"/>
        <w:spacing w:before="200" w:lineRule="auto"/>
        <w:ind w:firstLine="540"/>
        <w:jc w:val="both"/>
      </w:pPr>
      <w:r>
        <w:rPr>
          <w:sz w:val="20"/>
        </w:rPr>
        <w:t xml:space="preserve">развитие университетских и научных компетенций, а также инфраструктуры, созданной НОЦ "ТулаТЕХ" (студенческие конструкторские бюро, новые лаборатории для молодых ученых);</w:t>
      </w:r>
    </w:p>
    <w:p>
      <w:pPr>
        <w:pStyle w:val="0"/>
        <w:spacing w:before="200" w:lineRule="auto"/>
        <w:ind w:firstLine="540"/>
        <w:jc w:val="both"/>
      </w:pPr>
      <w:r>
        <w:rPr>
          <w:sz w:val="20"/>
        </w:rPr>
        <w:t xml:space="preserve">расширение практико-ориентированной модели подготовки кадров в рамках проекта "Профессионалитет";</w:t>
      </w:r>
    </w:p>
    <w:p>
      <w:pPr>
        <w:pStyle w:val="0"/>
        <w:spacing w:before="200" w:lineRule="auto"/>
        <w:ind w:firstLine="540"/>
        <w:jc w:val="both"/>
      </w:pPr>
      <w:r>
        <w:rPr>
          <w:sz w:val="20"/>
        </w:rPr>
        <w:t xml:space="preserve">создание корпоративных кафедр и базовых кафедр на предприятиях, расширение практик на производственных площадках;</w:t>
      </w:r>
    </w:p>
    <w:p>
      <w:pPr>
        <w:pStyle w:val="0"/>
        <w:spacing w:before="200" w:lineRule="auto"/>
        <w:ind w:firstLine="540"/>
        <w:jc w:val="both"/>
      </w:pPr>
      <w:r>
        <w:rPr>
          <w:sz w:val="20"/>
        </w:rPr>
        <w:t xml:space="preserve">развитие механизмов ускоренной подготовки и переподготовки специалистов под конкретные технологические проекты;</w:t>
      </w:r>
    </w:p>
    <w:p>
      <w:pPr>
        <w:pStyle w:val="0"/>
        <w:spacing w:before="200" w:lineRule="auto"/>
        <w:ind w:firstLine="540"/>
        <w:jc w:val="both"/>
      </w:pPr>
      <w:r>
        <w:rPr>
          <w:sz w:val="20"/>
        </w:rPr>
        <w:t xml:space="preserve">стимулирование привлечения молодых исследователей и инженерных кадров в регион;</w:t>
      </w:r>
    </w:p>
    <w:p>
      <w:pPr>
        <w:pStyle w:val="0"/>
        <w:spacing w:before="200" w:lineRule="auto"/>
        <w:ind w:firstLine="540"/>
        <w:jc w:val="both"/>
      </w:pPr>
      <w:r>
        <w:rPr>
          <w:sz w:val="20"/>
        </w:rPr>
        <w:t xml:space="preserve">поддержка программ целевого обучения и инженерных классов в школах;</w:t>
      </w:r>
    </w:p>
    <w:p>
      <w:pPr>
        <w:pStyle w:val="0"/>
        <w:spacing w:before="200" w:lineRule="auto"/>
        <w:ind w:firstLine="540"/>
        <w:jc w:val="both"/>
      </w:pPr>
      <w:r>
        <w:rPr>
          <w:sz w:val="20"/>
        </w:rPr>
        <w:t xml:space="preserve">формирование заказа на подготовку кадров с использованием системы прогнозирования потребности в профессиональных кадрах;</w:t>
      </w:r>
    </w:p>
    <w:p>
      <w:pPr>
        <w:pStyle w:val="0"/>
        <w:spacing w:before="200" w:lineRule="auto"/>
        <w:ind w:firstLine="540"/>
        <w:jc w:val="both"/>
      </w:pPr>
      <w:r>
        <w:rPr>
          <w:sz w:val="20"/>
        </w:rPr>
        <w:t xml:space="preserve">формирование и ежегодная актуализация регионального портфеля технологических проектов, синхронизированного с федеральными приоритетами;</w:t>
      </w:r>
    </w:p>
    <w:p>
      <w:pPr>
        <w:pStyle w:val="0"/>
        <w:spacing w:before="200" w:lineRule="auto"/>
        <w:ind w:firstLine="540"/>
        <w:jc w:val="both"/>
      </w:pPr>
      <w:r>
        <w:rPr>
          <w:sz w:val="20"/>
        </w:rPr>
        <w:t xml:space="preserve">внедрение прозрачных процедур отбора и сопровождения проектов;</w:t>
      </w:r>
    </w:p>
    <w:p>
      <w:pPr>
        <w:pStyle w:val="0"/>
        <w:spacing w:before="200" w:lineRule="auto"/>
        <w:ind w:firstLine="540"/>
        <w:jc w:val="both"/>
      </w:pPr>
      <w:r>
        <w:rPr>
          <w:sz w:val="20"/>
        </w:rPr>
        <w:t xml:space="preserve">развитие кооперации "наука-вуз-предприятие", технологического трансфера, а также инфраструктуры инжиниринга, прототипирования и испытаний;</w:t>
      </w:r>
    </w:p>
    <w:p>
      <w:pPr>
        <w:pStyle w:val="0"/>
        <w:spacing w:before="200" w:lineRule="auto"/>
        <w:ind w:firstLine="540"/>
        <w:jc w:val="both"/>
      </w:pPr>
      <w:r>
        <w:rPr>
          <w:sz w:val="20"/>
        </w:rPr>
        <w:t xml:space="preserve">реализация мероприятий совместно с институтами инновационного развития (софинансирование, акселерация, сервисы сопровождения), включая поддержку консорциумов, пилотирования и вывода технологических решений на рынки;</w:t>
      </w:r>
    </w:p>
    <w:p>
      <w:pPr>
        <w:pStyle w:val="0"/>
        <w:spacing w:before="200" w:lineRule="auto"/>
        <w:ind w:firstLine="540"/>
        <w:jc w:val="both"/>
      </w:pPr>
      <w:r>
        <w:rPr>
          <w:sz w:val="20"/>
        </w:rPr>
        <w:t xml:space="preserve">упрощение доступа малых технологических компаний к поддержке и ускорению внедрения технологий, включая сервис "единого окна" по включению в реестр и подбору федеральных/региональных мер поддержки малых технологических компаний;</w:t>
      </w:r>
    </w:p>
    <w:p>
      <w:pPr>
        <w:pStyle w:val="0"/>
        <w:spacing w:before="200" w:lineRule="auto"/>
        <w:ind w:firstLine="540"/>
        <w:jc w:val="both"/>
      </w:pPr>
      <w:r>
        <w:rPr>
          <w:sz w:val="20"/>
        </w:rPr>
        <w:t xml:space="preserve">настройка региональных стимулов и инструментов привлечения инвестиций, включая возможность применения инвестиционного налогового вычета для организаций, инвестирующих в малые технологические компании (в том числе через инвестиционное товарищество);</w:t>
      </w:r>
    </w:p>
    <w:p>
      <w:pPr>
        <w:pStyle w:val="0"/>
        <w:spacing w:before="200" w:lineRule="auto"/>
        <w:ind w:firstLine="540"/>
        <w:jc w:val="both"/>
      </w:pPr>
      <w:r>
        <w:rPr>
          <w:sz w:val="20"/>
        </w:rPr>
        <w:t xml:space="preserve">расширение кооперации малых технологических компаний с крупными предприятиями (пилотирование, "первое внедрение", включение в цепочки поставок).</w:t>
      </w:r>
    </w:p>
    <w:p>
      <w:pPr>
        <w:pStyle w:val="0"/>
      </w:pPr>
      <w:r>
        <w:rPr>
          <w:sz w:val="20"/>
        </w:rPr>
      </w:r>
    </w:p>
    <w:p>
      <w:pPr>
        <w:pStyle w:val="2"/>
        <w:outlineLvl w:val="1"/>
        <w:jc w:val="center"/>
      </w:pPr>
      <w:r>
        <w:rPr>
          <w:sz w:val="20"/>
        </w:rPr>
        <w:t xml:space="preserve">8. Основные направления рационального природопользования</w:t>
      </w:r>
    </w:p>
    <w:p>
      <w:pPr>
        <w:pStyle w:val="2"/>
        <w:jc w:val="center"/>
      </w:pPr>
      <w:r>
        <w:rPr>
          <w:sz w:val="20"/>
        </w:rPr>
        <w:t xml:space="preserve">и обеспечения экологической безопасности Тульской области</w:t>
      </w:r>
    </w:p>
    <w:p>
      <w:pPr>
        <w:pStyle w:val="0"/>
      </w:pPr>
      <w:r>
        <w:rPr>
          <w:sz w:val="20"/>
        </w:rPr>
      </w:r>
    </w:p>
    <w:p>
      <w:pPr>
        <w:pStyle w:val="2"/>
        <w:outlineLvl w:val="2"/>
        <w:jc w:val="center"/>
      </w:pPr>
      <w:r>
        <w:rPr>
          <w:sz w:val="20"/>
        </w:rPr>
        <w:t xml:space="preserve">8.1. Развитие природных ресурсов и экологии Тульской области</w:t>
      </w:r>
    </w:p>
    <w:p>
      <w:pPr>
        <w:pStyle w:val="0"/>
      </w:pPr>
      <w:r>
        <w:rPr>
          <w:sz w:val="20"/>
        </w:rPr>
      </w:r>
    </w:p>
    <w:p>
      <w:pPr>
        <w:pStyle w:val="0"/>
        <w:ind w:firstLine="540"/>
        <w:jc w:val="both"/>
      </w:pPr>
      <w:r>
        <w:rPr>
          <w:sz w:val="20"/>
        </w:rPr>
        <w:t xml:space="preserve">Экологическая ситуация в Тульской области неоднородна. На территориях, примыкающих к экологически напряженным производствам, прежде всего химическим и металлургическим, а также жилищно-коммунальной инфраструктуре, сложна. На большей части территорий - сравнительно благоприятна. Особенностью водоснабжения населения Тульской области является использование исключительно подземных источников, вода которых характеризуется низким микробным загрязнением, но содержанием в значимых количествах химических веществ, прежде всего, железа и солей жесткости.</w:t>
      </w:r>
    </w:p>
    <w:p>
      <w:pPr>
        <w:pStyle w:val="0"/>
        <w:spacing w:before="200" w:lineRule="auto"/>
        <w:ind w:firstLine="540"/>
        <w:jc w:val="both"/>
      </w:pPr>
      <w:r>
        <w:rPr>
          <w:sz w:val="20"/>
        </w:rPr>
        <w:t xml:space="preserve">В регионе проводится системная плановая работа по совершенствованию территориальной системы экологического мониторинга за уровнями загрязнения атмосферного воздуха. Действуют передвижные экологические лаборатории, внедрена Система автоматизированного экологического мониторинга Тульской области с возможностью интеграции в нее информации о выбросах загрязняющих веществ в атмосферный воздух от стационарных источников выбросов промышленных предприятий. Установлено 4 стационарных поста наблюдений за качеством атмосферы (в городах Алексин, Новомосковск, Узловая, Ефремов) и 2 модульных поста (в городах Тула и Донской). В целом в Тульской области за период с 1991 года объем выбросов вредных веществ в атмосферу от стационарных источников сократился почти в 6 раз.</w:t>
      </w:r>
    </w:p>
    <w:p>
      <w:pPr>
        <w:pStyle w:val="0"/>
        <w:spacing w:before="200" w:lineRule="auto"/>
        <w:ind w:firstLine="540"/>
        <w:jc w:val="both"/>
      </w:pPr>
      <w:r>
        <w:rPr>
          <w:sz w:val="20"/>
        </w:rPr>
        <w:t xml:space="preserve">Достигнут значительный прогресс в сфере повышения эффективности управления отходами. Сформирована комплексная система обращения с твердыми коммунальными отходами (далее - ТКО). Введены в эксплуатацию 3 объекта в области обращения с ТКО, рекультивировано 12 свалок и ликвидирована 141 несанкционированная свалка.</w:t>
      </w:r>
    </w:p>
    <w:p>
      <w:pPr>
        <w:pStyle w:val="0"/>
        <w:spacing w:before="200" w:lineRule="auto"/>
        <w:ind w:firstLine="540"/>
        <w:jc w:val="both"/>
      </w:pPr>
      <w:r>
        <w:rPr>
          <w:sz w:val="20"/>
        </w:rPr>
        <w:t xml:space="preserve">С 2021 года созданы 6 особо охраняемых природных территорий регионального значения и 1 федерального значения - национальный парк "Тульские засеки" общей площадью порядка 5,8 тыс. га, что обеспечивает условия для сохранения и восстановления популяции ряда редких и находящихся под угрозой исчезновения видов растений и животных.</w:t>
      </w:r>
    </w:p>
    <w:p>
      <w:pPr>
        <w:pStyle w:val="0"/>
        <w:spacing w:before="200" w:lineRule="auto"/>
        <w:ind w:firstLine="540"/>
        <w:jc w:val="both"/>
      </w:pPr>
      <w:r>
        <w:rPr>
          <w:sz w:val="20"/>
        </w:rPr>
        <w:t xml:space="preserve">Стратегическая цель экологической и климатической политики Тульской области - значительное улучшение состояния окружающей среды региона, в первую очередь на наиболее пострадавших от загрязнений территориях, а также своевременная адаптация к происходящим изменениям климата.</w:t>
      </w:r>
    </w:p>
    <w:p>
      <w:pPr>
        <w:pStyle w:val="0"/>
        <w:spacing w:before="200" w:lineRule="auto"/>
        <w:ind w:firstLine="540"/>
        <w:jc w:val="both"/>
      </w:pPr>
      <w:r>
        <w:rPr>
          <w:sz w:val="20"/>
        </w:rPr>
        <w:t xml:space="preserve">Достижению поставленной цели будет способствовать решение следующих задач:</w:t>
      </w:r>
    </w:p>
    <w:p>
      <w:pPr>
        <w:pStyle w:val="0"/>
        <w:spacing w:before="200" w:lineRule="auto"/>
        <w:ind w:firstLine="540"/>
        <w:jc w:val="both"/>
      </w:pPr>
      <w:r>
        <w:rPr>
          <w:sz w:val="20"/>
        </w:rPr>
        <w:t xml:space="preserve">улучшение качества окружающей среды;</w:t>
      </w:r>
    </w:p>
    <w:p>
      <w:pPr>
        <w:pStyle w:val="0"/>
        <w:spacing w:before="200" w:lineRule="auto"/>
        <w:ind w:firstLine="540"/>
        <w:jc w:val="both"/>
      </w:pPr>
      <w:r>
        <w:rPr>
          <w:sz w:val="20"/>
        </w:rPr>
        <w:t xml:space="preserve">поэтапное снижение выбросов опасных загрязняющих веществ, оказывающих наибольшее негативное воздействие на окружающую среду и здоровье человека, в городах с высоким и очень высоким уровнем загрязнения атмосферного воздуха;</w:t>
      </w:r>
    </w:p>
    <w:p>
      <w:pPr>
        <w:pStyle w:val="0"/>
        <w:spacing w:before="200" w:lineRule="auto"/>
        <w:ind w:firstLine="540"/>
        <w:jc w:val="both"/>
      </w:pPr>
      <w:r>
        <w:rPr>
          <w:sz w:val="20"/>
        </w:rPr>
        <w:t xml:space="preserve">повышение уровня переработки твердых коммунальных отходов;</w:t>
      </w:r>
    </w:p>
    <w:p>
      <w:pPr>
        <w:pStyle w:val="0"/>
        <w:spacing w:before="200" w:lineRule="auto"/>
        <w:ind w:firstLine="540"/>
        <w:jc w:val="both"/>
      </w:pPr>
      <w:r>
        <w:rPr>
          <w:sz w:val="20"/>
        </w:rPr>
        <w:t xml:space="preserve">сокращение числа и общей площади загрязненных территорий и водных объектов, их экологическая реабилитация;</w:t>
      </w:r>
    </w:p>
    <w:p>
      <w:pPr>
        <w:pStyle w:val="0"/>
        <w:spacing w:before="200" w:lineRule="auto"/>
        <w:ind w:firstLine="540"/>
        <w:jc w:val="both"/>
      </w:pPr>
      <w:r>
        <w:rPr>
          <w:sz w:val="20"/>
        </w:rPr>
        <w:t xml:space="preserve">сохранение биологического разнообразия, природных ресурсов, дальнейшее развитие особо охраняемых природных территорий;</w:t>
      </w:r>
    </w:p>
    <w:p>
      <w:pPr>
        <w:pStyle w:val="0"/>
        <w:spacing w:before="200" w:lineRule="auto"/>
        <w:ind w:firstLine="540"/>
        <w:jc w:val="both"/>
      </w:pPr>
      <w:r>
        <w:rPr>
          <w:sz w:val="20"/>
        </w:rPr>
        <w:t xml:space="preserve">развитие технологий (включая информационные) и инфраструктуры мониторинга за состоянием окружающей среды;</w:t>
      </w:r>
    </w:p>
    <w:p>
      <w:pPr>
        <w:pStyle w:val="0"/>
        <w:spacing w:before="200" w:lineRule="auto"/>
        <w:ind w:firstLine="540"/>
        <w:jc w:val="both"/>
      </w:pPr>
      <w:r>
        <w:rPr>
          <w:sz w:val="20"/>
        </w:rPr>
        <w:t xml:space="preserve">своевременное информирование населения о чрезвычайных ситуациях природного характера;</w:t>
      </w:r>
    </w:p>
    <w:p>
      <w:pPr>
        <w:pStyle w:val="0"/>
        <w:spacing w:before="200" w:lineRule="auto"/>
        <w:ind w:firstLine="540"/>
        <w:jc w:val="both"/>
      </w:pPr>
      <w:r>
        <w:rPr>
          <w:sz w:val="20"/>
        </w:rPr>
        <w:t xml:space="preserve">обеспечение безопасности населения, территорий и инфраструктуры в рамках мер адаптации к изменениям климата, в том числе неблагоприятным метеорологическим условиям.</w:t>
      </w:r>
    </w:p>
    <w:p>
      <w:pPr>
        <w:pStyle w:val="0"/>
        <w:spacing w:before="200" w:lineRule="auto"/>
        <w:ind w:firstLine="540"/>
        <w:jc w:val="both"/>
      </w:pPr>
      <w:r>
        <w:rPr>
          <w:sz w:val="20"/>
        </w:rPr>
        <w:t xml:space="preserve">Для выполнения поставленных задач запланированы следующие мероприятия:</w:t>
      </w:r>
    </w:p>
    <w:p>
      <w:pPr>
        <w:pStyle w:val="0"/>
        <w:spacing w:before="200" w:lineRule="auto"/>
        <w:ind w:firstLine="540"/>
        <w:jc w:val="both"/>
      </w:pPr>
      <w:r>
        <w:rPr>
          <w:sz w:val="20"/>
        </w:rPr>
        <w:t xml:space="preserve">дальнейшее развитие региональной системы обращения с ТКО;</w:t>
      </w:r>
    </w:p>
    <w:p>
      <w:pPr>
        <w:pStyle w:val="0"/>
        <w:spacing w:before="200" w:lineRule="auto"/>
        <w:ind w:firstLine="540"/>
        <w:jc w:val="both"/>
      </w:pPr>
      <w:r>
        <w:rPr>
          <w:sz w:val="20"/>
        </w:rPr>
        <w:t xml:space="preserve">обеспечение функционирования и расширение территориальной системы наблюдения за состоянием окружающей среды путем установки постов экомониторинга; ужесточение контроля за соблюдением экологического законодательства всеми хозяйствующими субъектами и домохозяйствами;</w:t>
      </w:r>
    </w:p>
    <w:p>
      <w:pPr>
        <w:pStyle w:val="0"/>
        <w:spacing w:before="200" w:lineRule="auto"/>
        <w:ind w:firstLine="540"/>
        <w:jc w:val="both"/>
      </w:pPr>
      <w:r>
        <w:rPr>
          <w:sz w:val="20"/>
        </w:rPr>
        <w:t xml:space="preserve">активизация экологического просвещения населения, в первую очередь молодежи;</w:t>
      </w:r>
    </w:p>
    <w:p>
      <w:pPr>
        <w:pStyle w:val="0"/>
        <w:spacing w:before="200" w:lineRule="auto"/>
        <w:ind w:firstLine="540"/>
        <w:jc w:val="both"/>
      </w:pPr>
      <w:r>
        <w:rPr>
          <w:sz w:val="20"/>
        </w:rPr>
        <w:t xml:space="preserve">определение водоохранных зон, прибрежных защитных полос, зон затопления подтопления водных объектов Тульской области и соблюдение ограничений их использования;</w:t>
      </w:r>
    </w:p>
    <w:p>
      <w:pPr>
        <w:pStyle w:val="0"/>
        <w:spacing w:before="200" w:lineRule="auto"/>
        <w:ind w:firstLine="540"/>
        <w:jc w:val="both"/>
      </w:pPr>
      <w:r>
        <w:rPr>
          <w:sz w:val="20"/>
        </w:rPr>
        <w:t xml:space="preserve">расчистка русел рек Тульской области и береговой линии от наносов, завалов, заторов, включая срезку, корчевание кустарников и мелколесья в рамках благоустройства территорий;</w:t>
      </w:r>
    </w:p>
    <w:p>
      <w:pPr>
        <w:pStyle w:val="0"/>
        <w:spacing w:before="200" w:lineRule="auto"/>
        <w:ind w:firstLine="540"/>
        <w:jc w:val="both"/>
      </w:pPr>
      <w:r>
        <w:rPr>
          <w:sz w:val="20"/>
        </w:rPr>
        <w:t xml:space="preserve">обеспечение безопасности гидротехнических сооружений;</w:t>
      </w:r>
    </w:p>
    <w:p>
      <w:pPr>
        <w:pStyle w:val="0"/>
        <w:spacing w:before="200" w:lineRule="auto"/>
        <w:ind w:firstLine="540"/>
        <w:jc w:val="both"/>
      </w:pPr>
      <w:r>
        <w:rPr>
          <w:sz w:val="20"/>
        </w:rPr>
        <w:t xml:space="preserve">разработка и реализация проектов озеленения общественных рекреационных пространств.</w:t>
      </w:r>
    </w:p>
    <w:p>
      <w:pPr>
        <w:pStyle w:val="0"/>
        <w:spacing w:before="200" w:lineRule="auto"/>
        <w:ind w:firstLine="540"/>
        <w:jc w:val="both"/>
      </w:pPr>
      <w:r>
        <w:rPr>
          <w:sz w:val="20"/>
        </w:rPr>
        <w:t xml:space="preserve">В более долгосрочной перспективе целесообразна реализация следующих мероприятий, нацеленных на решение проблемы загрязнения рек и обеспечение эффективной работы систем водоснабжения и водоотведения Тульской области:</w:t>
      </w:r>
    </w:p>
    <w:p>
      <w:pPr>
        <w:pStyle w:val="0"/>
        <w:spacing w:before="200" w:lineRule="auto"/>
        <w:ind w:firstLine="540"/>
        <w:jc w:val="both"/>
      </w:pPr>
      <w:r>
        <w:rPr>
          <w:sz w:val="20"/>
        </w:rPr>
        <w:t xml:space="preserve">включение в комплексный план модернизации коммунальной инфраструктуры Тульской области приоритетного строительства и реконструкции систем водоочистки и очистных сооружений канализации в крупных населенных пунктах, включая город Тулу;</w:t>
      </w:r>
    </w:p>
    <w:p>
      <w:pPr>
        <w:pStyle w:val="0"/>
        <w:spacing w:before="200" w:lineRule="auto"/>
        <w:ind w:firstLine="540"/>
        <w:jc w:val="both"/>
      </w:pPr>
      <w:r>
        <w:rPr>
          <w:sz w:val="20"/>
        </w:rPr>
        <w:t xml:space="preserve">внедрение энергоэффективных и ресурсосберегающих технологий при выполнении строительства и реконструкции объектов водоснабжения и водоотведения.</w:t>
      </w:r>
    </w:p>
    <w:p>
      <w:pPr>
        <w:pStyle w:val="0"/>
      </w:pPr>
      <w:r>
        <w:rPr>
          <w:sz w:val="20"/>
        </w:rPr>
      </w:r>
    </w:p>
    <w:p>
      <w:pPr>
        <w:pStyle w:val="2"/>
        <w:outlineLvl w:val="2"/>
        <w:jc w:val="center"/>
      </w:pPr>
      <w:r>
        <w:rPr>
          <w:sz w:val="20"/>
        </w:rPr>
        <w:t xml:space="preserve">8.2. Основные направления адаптации к изменениям климата</w:t>
      </w:r>
    </w:p>
    <w:p>
      <w:pPr>
        <w:pStyle w:val="2"/>
        <w:jc w:val="center"/>
      </w:pPr>
      <w:r>
        <w:rPr>
          <w:sz w:val="20"/>
        </w:rPr>
        <w:t xml:space="preserve">Тульской области</w:t>
      </w:r>
    </w:p>
    <w:p>
      <w:pPr>
        <w:pStyle w:val="0"/>
      </w:pPr>
      <w:r>
        <w:rPr>
          <w:sz w:val="20"/>
        </w:rPr>
      </w:r>
    </w:p>
    <w:p>
      <w:pPr>
        <w:pStyle w:val="0"/>
        <w:ind w:firstLine="540"/>
        <w:jc w:val="both"/>
      </w:pPr>
      <w:r>
        <w:rPr>
          <w:sz w:val="20"/>
        </w:rPr>
        <w:t xml:space="preserve">Климатические риски для Тульской области носят комплексный характер и усиливаются на фоне роста частоты опасных метеорологических явлений (аномальная жара, продолжительные ливни, сильный ветер, гололед, засушливые периоды). Наиболее уязвимыми являются водохозяйственный комплекс и коммунальная инфраструктура, уже испытывающие нагрузку из-за износа сетей и очистных сооружений. При этом водоснабжение населения преимущественно опирается на подземные источники, для которых значима защита от загрязнения и истощения ресурсной базы.</w:t>
      </w:r>
    </w:p>
    <w:p>
      <w:pPr>
        <w:pStyle w:val="0"/>
        <w:spacing w:before="200" w:lineRule="auto"/>
        <w:ind w:firstLine="540"/>
        <w:jc w:val="both"/>
      </w:pPr>
      <w:r>
        <w:rPr>
          <w:sz w:val="20"/>
        </w:rPr>
        <w:t xml:space="preserve">Повышенные риски наблюдаются на территориях, прилегающих к промышленным площадкам и плотной застройке, где "острова тепла" и высокий уровень аэрозольного загрязнения усугубляют воздействие волн жары на здоровье населения. Локальные подтопления в дни интенсивных осадков формируются из-за ограниченной пропускной способности ливневой канализации и зарастания русел малых рек; в лесной зоне сохраняется вероятность природных пожаров в засушливые сезоны. Для сельского хозяйства критичны колебания влагообеспеченности, деградация почв и смещение агроклиматических сроков.</w:t>
      </w:r>
    </w:p>
    <w:p>
      <w:pPr>
        <w:pStyle w:val="0"/>
        <w:spacing w:before="200" w:lineRule="auto"/>
        <w:ind w:firstLine="540"/>
        <w:jc w:val="both"/>
      </w:pPr>
      <w:r>
        <w:rPr>
          <w:sz w:val="20"/>
        </w:rPr>
        <w:t xml:space="preserve">Стратегическая цель - обеспечение устойчивости экономики и инфраструктуры Тульской области к текущим и ожидаемым климатическим воздействиям за счет системного управления рисками, модернизации критической инфраструктуры и интеграции адаптационных решений в региональные планы развития.</w:t>
      </w:r>
    </w:p>
    <w:p>
      <w:pPr>
        <w:pStyle w:val="0"/>
        <w:spacing w:before="200" w:lineRule="auto"/>
        <w:ind w:firstLine="540"/>
        <w:jc w:val="both"/>
      </w:pPr>
      <w:r>
        <w:rPr>
          <w:sz w:val="20"/>
        </w:rPr>
        <w:t xml:space="preserve">Достижению поставленной цели будет способствовать решение следующих задач:</w:t>
      </w:r>
    </w:p>
    <w:p>
      <w:pPr>
        <w:pStyle w:val="0"/>
        <w:spacing w:before="200" w:lineRule="auto"/>
        <w:ind w:firstLine="540"/>
        <w:jc w:val="both"/>
      </w:pPr>
      <w:r>
        <w:rPr>
          <w:sz w:val="20"/>
        </w:rPr>
        <w:t xml:space="preserve">утверждение и реализация программ адаптации к изменениям климата на региональном уровне;</w:t>
      </w:r>
    </w:p>
    <w:p>
      <w:pPr>
        <w:pStyle w:val="0"/>
        <w:spacing w:before="200" w:lineRule="auto"/>
        <w:ind w:firstLine="540"/>
        <w:jc w:val="both"/>
      </w:pPr>
      <w:r>
        <w:rPr>
          <w:sz w:val="20"/>
        </w:rPr>
        <w:t xml:space="preserve">внедрение климатически устойчивых стандартов проектирования, строительства и эксплуатации объектов жилищно-коммунального хозяйства, транспорта, энергетики и социальной инфраструктуры (теплостойкость, водоотведение, резервирование);</w:t>
      </w:r>
    </w:p>
    <w:p>
      <w:pPr>
        <w:pStyle w:val="0"/>
        <w:spacing w:before="200" w:lineRule="auto"/>
        <w:ind w:firstLine="540"/>
        <w:jc w:val="both"/>
      </w:pPr>
      <w:r>
        <w:rPr>
          <w:sz w:val="20"/>
        </w:rPr>
        <w:t xml:space="preserve">развитие адаптивного водохозяйственного управления: расчистка и руслорегулирование малых рек, берегоукрепление, расширение ливневой канализации, восстановление водно-болотных территорий как естественных аккумуляторов стока;</w:t>
      </w:r>
    </w:p>
    <w:p>
      <w:pPr>
        <w:pStyle w:val="0"/>
        <w:spacing w:before="200" w:lineRule="auto"/>
        <w:ind w:firstLine="540"/>
        <w:jc w:val="both"/>
      </w:pPr>
      <w:r>
        <w:rPr>
          <w:sz w:val="20"/>
        </w:rPr>
        <w:t xml:space="preserve">"озеленение" городской среды и формирование "синих-зеленых" каркасов (аллеи, парки, городские леса, водоемы, дождевые сады) для снижения теплового стресса и задержания стока;</w:t>
      </w:r>
    </w:p>
    <w:p>
      <w:pPr>
        <w:pStyle w:val="0"/>
        <w:spacing w:before="200" w:lineRule="auto"/>
        <w:ind w:firstLine="540"/>
        <w:jc w:val="both"/>
      </w:pPr>
      <w:r>
        <w:rPr>
          <w:sz w:val="20"/>
        </w:rPr>
        <w:t xml:space="preserve">создание региональной системы климатического мониторинга и раннего оповещения, интегрированной с санитарно-эпидемиологическим и гидрометеорологическим наблюдением;</w:t>
      </w:r>
    </w:p>
    <w:p>
      <w:pPr>
        <w:pStyle w:val="0"/>
        <w:spacing w:before="200" w:lineRule="auto"/>
        <w:ind w:firstLine="540"/>
        <w:jc w:val="both"/>
      </w:pPr>
      <w:r>
        <w:rPr>
          <w:sz w:val="20"/>
        </w:rPr>
        <w:t xml:space="preserve">адаптация агросектора, предполагающая внедрение влагосберегающих технологий, устойчивых сортов растений, технологий точного земледелия, противоэрозионных мер;</w:t>
      </w:r>
    </w:p>
    <w:p>
      <w:pPr>
        <w:pStyle w:val="0"/>
        <w:spacing w:before="200" w:lineRule="auto"/>
        <w:ind w:firstLine="540"/>
        <w:jc w:val="both"/>
      </w:pPr>
      <w:r>
        <w:rPr>
          <w:sz w:val="20"/>
        </w:rPr>
        <w:t xml:space="preserve">развитие кадровых и научных компетенций: обучение должностных лиц в муниципалитетах и на предприятиях методам климатического риск-менеджмента, поддержка пилотных научно-исследовательских и опытно-конструкторских работ.</w:t>
      </w:r>
    </w:p>
    <w:p>
      <w:pPr>
        <w:pStyle w:val="0"/>
        <w:spacing w:before="200" w:lineRule="auto"/>
        <w:ind w:firstLine="540"/>
        <w:jc w:val="both"/>
      </w:pPr>
      <w:r>
        <w:rPr>
          <w:sz w:val="20"/>
        </w:rPr>
        <w:t xml:space="preserve">Для выполнения поставленных задач запланированы следующие мероприятия:</w:t>
      </w:r>
    </w:p>
    <w:p>
      <w:pPr>
        <w:pStyle w:val="0"/>
        <w:spacing w:before="200" w:lineRule="auto"/>
        <w:ind w:firstLine="540"/>
        <w:jc w:val="both"/>
      </w:pPr>
      <w:r>
        <w:rPr>
          <w:sz w:val="20"/>
        </w:rPr>
        <w:t xml:space="preserve">проведение климатического скрининга региональных и муниципальных программ развития, включение обязательных разделов по адаптации;</w:t>
      </w:r>
    </w:p>
    <w:p>
      <w:pPr>
        <w:pStyle w:val="0"/>
        <w:spacing w:before="200" w:lineRule="auto"/>
        <w:ind w:firstLine="540"/>
        <w:jc w:val="both"/>
      </w:pPr>
      <w:r>
        <w:rPr>
          <w:sz w:val="20"/>
        </w:rPr>
        <w:t xml:space="preserve">разработка и утверждение карт подтопления, ограничение застройки пойм и аккумуляции стока на новых территориях. Модернизация ливневой канализации в Туле и крупных муниципалитетах, внедрение локальных очистных сооружений ливневых стоков, создание дождеприемных парков и регулирующих водоемов;</w:t>
      </w:r>
    </w:p>
    <w:p>
      <w:pPr>
        <w:pStyle w:val="0"/>
        <w:spacing w:before="200" w:lineRule="auto"/>
        <w:ind w:firstLine="540"/>
        <w:jc w:val="both"/>
      </w:pPr>
      <w:r>
        <w:rPr>
          <w:sz w:val="20"/>
        </w:rPr>
        <w:t xml:space="preserve">комплексная расчистка, руслорегулирование и берегоукрепление на приоритетных участках малых рек, восстановление водно-болотных угодий; повышение безопасности гидротехнических сооружений;</w:t>
      </w:r>
    </w:p>
    <w:p>
      <w:pPr>
        <w:pStyle w:val="0"/>
        <w:spacing w:before="200" w:lineRule="auto"/>
        <w:ind w:firstLine="540"/>
        <w:jc w:val="both"/>
      </w:pPr>
      <w:r>
        <w:rPr>
          <w:sz w:val="20"/>
        </w:rPr>
        <w:t xml:space="preserve">переоснащение систем теплоснабжения, водоснабжения и электроснабжения с учетом экстремальных температур и осадков (резервирование, автоматизированный контроль, энергоэффективность), внедрение "холодовых центров" в социально значимых объектах на период волн жары;</w:t>
      </w:r>
    </w:p>
    <w:p>
      <w:pPr>
        <w:pStyle w:val="0"/>
        <w:spacing w:before="200" w:lineRule="auto"/>
        <w:ind w:firstLine="540"/>
        <w:jc w:val="both"/>
      </w:pPr>
      <w:r>
        <w:rPr>
          <w:sz w:val="20"/>
        </w:rPr>
        <w:t xml:space="preserve">развитие городской зеленой инфраструктуры: увеличение доли тенистых насаждений на улично-дорожной сети, создание непрерывных зеленых коридоров к водоемам; применение тепло- и светоотражающих материалов при ремонте улиц и кровель;</w:t>
      </w:r>
    </w:p>
    <w:p>
      <w:pPr>
        <w:pStyle w:val="0"/>
        <w:spacing w:before="200" w:lineRule="auto"/>
        <w:ind w:firstLine="540"/>
        <w:jc w:val="both"/>
      </w:pPr>
      <w:r>
        <w:rPr>
          <w:sz w:val="20"/>
        </w:rPr>
        <w:t xml:space="preserve">формирование региональной системы климатического мониторинга и раннего оповещения с использованием передвижных лабораторий и автоматизированных постов, интеграция данных в единый ситуационный центр;</w:t>
      </w:r>
    </w:p>
    <w:p>
      <w:pPr>
        <w:pStyle w:val="0"/>
        <w:spacing w:before="200" w:lineRule="auto"/>
        <w:ind w:firstLine="540"/>
        <w:jc w:val="both"/>
      </w:pPr>
      <w:r>
        <w:rPr>
          <w:sz w:val="20"/>
        </w:rPr>
        <w:t xml:space="preserve">развитие мелиорации, влагосберегающих технологий и противоэрозионных мероприятий, страхование климатических рисков;</w:t>
      </w:r>
    </w:p>
    <w:p>
      <w:pPr>
        <w:pStyle w:val="0"/>
        <w:spacing w:before="200" w:lineRule="auto"/>
        <w:ind w:firstLine="540"/>
        <w:jc w:val="both"/>
      </w:pPr>
      <w:r>
        <w:rPr>
          <w:sz w:val="20"/>
        </w:rPr>
        <w:t xml:space="preserve">организация программ обучения для муниципальных образований и предприятий, подготовка методических рекомендаций по учету климатических рисков в проектной документации и управлении активами.</w:t>
      </w:r>
    </w:p>
    <w:p>
      <w:pPr>
        <w:pStyle w:val="0"/>
      </w:pPr>
      <w:r>
        <w:rPr>
          <w:sz w:val="20"/>
        </w:rPr>
      </w:r>
    </w:p>
    <w:p>
      <w:pPr>
        <w:pStyle w:val="2"/>
        <w:outlineLvl w:val="1"/>
        <w:jc w:val="center"/>
      </w:pPr>
      <w:r>
        <w:rPr>
          <w:sz w:val="20"/>
        </w:rPr>
        <w:t xml:space="preserve">9. Повышение безопасности жизнедеятельности населения</w:t>
      </w:r>
    </w:p>
    <w:p>
      <w:pPr>
        <w:pStyle w:val="0"/>
      </w:pPr>
      <w:r>
        <w:rPr>
          <w:sz w:val="20"/>
        </w:rPr>
      </w:r>
    </w:p>
    <w:p>
      <w:pPr>
        <w:pStyle w:val="2"/>
        <w:outlineLvl w:val="2"/>
        <w:jc w:val="center"/>
      </w:pPr>
      <w:r>
        <w:rPr>
          <w:sz w:val="20"/>
        </w:rPr>
        <w:t xml:space="preserve">9.1. Развитие системы обеспечения общественного порядка</w:t>
      </w:r>
    </w:p>
    <w:p>
      <w:pPr>
        <w:pStyle w:val="0"/>
      </w:pPr>
      <w:r>
        <w:rPr>
          <w:sz w:val="20"/>
        </w:rPr>
      </w:r>
    </w:p>
    <w:p>
      <w:pPr>
        <w:pStyle w:val="0"/>
        <w:ind w:firstLine="540"/>
        <w:jc w:val="both"/>
      </w:pPr>
      <w:r>
        <w:rPr>
          <w:sz w:val="20"/>
        </w:rPr>
        <w:t xml:space="preserve">По данным Управления Министерства внутренних дел по Тульской области состояние криминогенной обстановки в области по итогам 2024 года характеризуется снижением на 7,7% (с 16070 до 14828) числа зарегистрированных преступлений. Уровень преступности в расчете на 100 тыс. населения сократился до 1007,9 (аналогичный период прошлого года - 1084,7). Наблюдается также снижение количества погибших от преступных посягательств (169; -15,5%) и снижение количества тяжких и особо тяжких преступлений (4808; -10,6%). В структуре преступности отмечалось снижение количества убийств (-13,1%; 53), разбойных нападений (-18,4%; 31), грабежей (-21,2%; 175), краж (-23,0%; 3953), мошеннических действий (-2,7%; 3839). Лицами, находящимися в состоянии алкогольного опьянения, совершено 1233 (-21,1%) преступления. В общественных местах совершено 3615 (-11,1%) преступлений, в том числе 1398 (-18,9%) - на улицах. Выявлено 1504 преступления, связанных с незаконным оборотом наркотиков, выявлено 695 экономических преступлений, задокументировано 102 преступления коррупционной направленности.</w:t>
      </w:r>
    </w:p>
    <w:p>
      <w:pPr>
        <w:pStyle w:val="0"/>
        <w:spacing w:before="200" w:lineRule="auto"/>
        <w:ind w:firstLine="540"/>
        <w:jc w:val="both"/>
      </w:pPr>
      <w:r>
        <w:rPr>
          <w:sz w:val="20"/>
        </w:rPr>
        <w:t xml:space="preserve">Стратегическая цель - участие в повышении эффективности региональной системы обеспечения общественной безопасности, развитие взаимодействия органов государственной власти Тульской области с гражданским обществом по вопросам противодействия угрозам криминального характера.</w:t>
      </w:r>
    </w:p>
    <w:p>
      <w:pPr>
        <w:pStyle w:val="0"/>
        <w:spacing w:before="200" w:lineRule="auto"/>
        <w:ind w:firstLine="540"/>
        <w:jc w:val="both"/>
      </w:pPr>
      <w:r>
        <w:rPr>
          <w:sz w:val="20"/>
        </w:rPr>
        <w:t xml:space="preserve">Задачи, направленные на повышение уровня общественной безопасности:</w:t>
      </w:r>
    </w:p>
    <w:p>
      <w:pPr>
        <w:pStyle w:val="0"/>
        <w:spacing w:before="200" w:lineRule="auto"/>
        <w:ind w:firstLine="540"/>
        <w:jc w:val="both"/>
      </w:pPr>
      <w:r>
        <w:rPr>
          <w:sz w:val="20"/>
        </w:rPr>
        <w:t xml:space="preserve">профилактика правонарушений, в том числе среди несовершеннолетних и молодежи;</w:t>
      </w:r>
    </w:p>
    <w:p>
      <w:pPr>
        <w:pStyle w:val="0"/>
        <w:spacing w:before="200" w:lineRule="auto"/>
        <w:ind w:firstLine="540"/>
        <w:jc w:val="both"/>
      </w:pPr>
      <w:r>
        <w:rPr>
          <w:sz w:val="20"/>
        </w:rPr>
        <w:t xml:space="preserve">содействие противодействию преступлениям, совершаемым с использованием информационно-телекоммуникационных технологий;</w:t>
      </w:r>
    </w:p>
    <w:p>
      <w:pPr>
        <w:pStyle w:val="0"/>
        <w:spacing w:before="200" w:lineRule="auto"/>
        <w:ind w:firstLine="540"/>
        <w:jc w:val="both"/>
      </w:pPr>
      <w:r>
        <w:rPr>
          <w:sz w:val="20"/>
        </w:rPr>
        <w:t xml:space="preserve">содействие противодействию незаконной миграции и созданию условий для адаптации и интеграции иностранных граждан;</w:t>
      </w:r>
    </w:p>
    <w:p>
      <w:pPr>
        <w:pStyle w:val="0"/>
        <w:spacing w:before="200" w:lineRule="auto"/>
        <w:ind w:firstLine="540"/>
        <w:jc w:val="both"/>
      </w:pPr>
      <w:r>
        <w:rPr>
          <w:sz w:val="20"/>
        </w:rPr>
        <w:t xml:space="preserve">содействие повышению безопасности дорожного движения, снижению смертности в дорожно-транспортных происшествиях.</w:t>
      </w:r>
    </w:p>
    <w:p>
      <w:pPr>
        <w:pStyle w:val="0"/>
        <w:spacing w:before="200" w:lineRule="auto"/>
        <w:ind w:firstLine="540"/>
        <w:jc w:val="both"/>
      </w:pPr>
      <w:r>
        <w:rPr>
          <w:sz w:val="20"/>
        </w:rPr>
        <w:t xml:space="preserve">На решение поставленных задач направлены следующие мероприятия:</w:t>
      </w:r>
    </w:p>
    <w:p>
      <w:pPr>
        <w:pStyle w:val="0"/>
        <w:spacing w:before="200" w:lineRule="auto"/>
        <w:ind w:firstLine="540"/>
        <w:jc w:val="both"/>
      </w:pPr>
      <w:r>
        <w:rPr>
          <w:sz w:val="20"/>
        </w:rPr>
        <w:t xml:space="preserve">содействие Управлению Министерства внутренних дел по Тульской области в реализации мер по охране общественного порядка и обеспечению общественной безопасности на территории региона;</w:t>
      </w:r>
    </w:p>
    <w:p>
      <w:pPr>
        <w:pStyle w:val="0"/>
        <w:spacing w:before="200" w:lineRule="auto"/>
        <w:ind w:firstLine="540"/>
        <w:jc w:val="both"/>
      </w:pPr>
      <w:r>
        <w:rPr>
          <w:sz w:val="20"/>
        </w:rPr>
        <w:t xml:space="preserve">внедрение системы видеонаблюдения на территории Тульской области, в том числе с использованием искусственного интеллекта;</w:t>
      </w:r>
    </w:p>
    <w:p>
      <w:pPr>
        <w:pStyle w:val="0"/>
        <w:spacing w:before="200" w:lineRule="auto"/>
        <w:ind w:firstLine="540"/>
        <w:jc w:val="both"/>
      </w:pPr>
      <w:r>
        <w:rPr>
          <w:sz w:val="20"/>
        </w:rPr>
        <w:t xml:space="preserve">развитие эффективной системы коммуникаций граждан с правоохранительными органами, формирование активной гражданской позиции по противодействию преступным проявлениям, содействие добровольному участию граждан в охране общественного порядка;</w:t>
      </w:r>
    </w:p>
    <w:p>
      <w:pPr>
        <w:pStyle w:val="0"/>
        <w:spacing w:before="200" w:lineRule="auto"/>
        <w:ind w:firstLine="540"/>
        <w:jc w:val="both"/>
      </w:pPr>
      <w:r>
        <w:rPr>
          <w:sz w:val="20"/>
        </w:rPr>
        <w:t xml:space="preserve">профилактика потребления наркотиков, развитие системы раннего выявления незаконного потребления наркотических средств и психотропных веществ среди несовершеннолетних и молодежи, усиление работы по первичной профилактике наркомании среди несовершеннолетних;</w:t>
      </w:r>
    </w:p>
    <w:p>
      <w:pPr>
        <w:pStyle w:val="0"/>
        <w:spacing w:before="200" w:lineRule="auto"/>
        <w:ind w:firstLine="540"/>
        <w:jc w:val="both"/>
      </w:pPr>
      <w:r>
        <w:rPr>
          <w:sz w:val="20"/>
        </w:rPr>
        <w:t xml:space="preserve">совершенствование профилактических мероприятий, направленных на предупреждение совершения правонарушений несовершеннолетних;</w:t>
      </w:r>
    </w:p>
    <w:p>
      <w:pPr>
        <w:pStyle w:val="0"/>
        <w:spacing w:before="200" w:lineRule="auto"/>
        <w:ind w:firstLine="540"/>
        <w:jc w:val="both"/>
      </w:pPr>
      <w:r>
        <w:rPr>
          <w:sz w:val="20"/>
        </w:rPr>
        <w:t xml:space="preserve">организация досуга, занятости, профессиональной ориентации среди несовершеннолетних, активное использование в работе по профилактике правонарушений несовершеннолетних воспитательного потенциала родителей, семьи, общественных организаций;</w:t>
      </w:r>
    </w:p>
    <w:p>
      <w:pPr>
        <w:pStyle w:val="0"/>
        <w:spacing w:before="200" w:lineRule="auto"/>
        <w:ind w:firstLine="540"/>
        <w:jc w:val="both"/>
      </w:pPr>
      <w:r>
        <w:rPr>
          <w:sz w:val="20"/>
        </w:rPr>
        <w:t xml:space="preserve">формирование в обществе неприятия идеологии экстремизма и терроризма, предотвращение вовлечения подростков и молодежи в преступные группировки и экстремистскую деятельность, усиление профилактической работы с лицами, подверженными влиянию идеологии экстремизма, в том числе в молодежной среде, разъяснительной работы о неотвратимости наказания за осуществление экстремисткой деятельности, реализацию мер, направленных на противодействие использованию информационных технологий для пропаганды экстремисткой идеологии;</w:t>
      </w:r>
    </w:p>
    <w:p>
      <w:pPr>
        <w:pStyle w:val="0"/>
        <w:spacing w:before="200" w:lineRule="auto"/>
        <w:ind w:firstLine="540"/>
        <w:jc w:val="both"/>
      </w:pPr>
      <w:r>
        <w:rPr>
          <w:sz w:val="20"/>
        </w:rPr>
        <w:t xml:space="preserve">проведение системной работы по повышению финансовой и правовой грамотности населения, в том числе одиноко проживающих граждан пожилого возраста;</w:t>
      </w:r>
    </w:p>
    <w:p>
      <w:pPr>
        <w:pStyle w:val="0"/>
        <w:spacing w:before="200" w:lineRule="auto"/>
        <w:ind w:firstLine="540"/>
        <w:jc w:val="both"/>
      </w:pPr>
      <w:r>
        <w:rPr>
          <w:sz w:val="20"/>
        </w:rPr>
        <w:t xml:space="preserve">информирование населения о схемах и способах, используемых при совершении преступлений с применением современных средств коммуникации и связи, разъяснение о способах защиты и противостояния указанным противоправным действиям, в том числе с участием управляющих компаний, образовательных, медицинских организаций, учреждений социального обслуживания населения, многофункциональных центров и других организаций;</w:t>
      </w:r>
    </w:p>
    <w:p>
      <w:pPr>
        <w:pStyle w:val="0"/>
        <w:spacing w:before="200" w:lineRule="auto"/>
        <w:ind w:firstLine="540"/>
        <w:jc w:val="both"/>
      </w:pPr>
      <w:r>
        <w:rPr>
          <w:sz w:val="20"/>
        </w:rPr>
        <w:t xml:space="preserve">содействие социокультурной адаптации и интеграции иностранных граждан, формирование конструктивного взаимодействия между иностранными гражданами и жителями региона, проведение информационной и разъяснительной работы с иностранными гражданами и работодателями;</w:t>
      </w:r>
    </w:p>
    <w:p>
      <w:pPr>
        <w:pStyle w:val="0"/>
        <w:spacing w:before="200" w:lineRule="auto"/>
        <w:ind w:firstLine="540"/>
        <w:jc w:val="both"/>
      </w:pPr>
      <w:r>
        <w:rPr>
          <w:sz w:val="20"/>
        </w:rPr>
        <w:t xml:space="preserve">реализация мер, направленных на совершенствование условий безопасности дорожного движения, оснащение объектов улично-дорожной сети техническими средствами, внедрение автоматизированных и роботизированных технологий организации дорожного движения и контроля за соблюдением правил дорожного движения;</w:t>
      </w:r>
    </w:p>
    <w:p>
      <w:pPr>
        <w:pStyle w:val="0"/>
        <w:spacing w:before="200" w:lineRule="auto"/>
        <w:ind w:firstLine="540"/>
        <w:jc w:val="both"/>
      </w:pPr>
      <w:r>
        <w:rPr>
          <w:sz w:val="20"/>
        </w:rPr>
        <w:t xml:space="preserve">повышение (укрепление) антитеррористической и противокриминальной защищенности государственных бюджетных общеобразовательных учреждений, осуществляющих образовательную деятельность по программам начального и среднего образования на территории области;</w:t>
      </w:r>
    </w:p>
    <w:p>
      <w:pPr>
        <w:pStyle w:val="0"/>
        <w:spacing w:before="200" w:lineRule="auto"/>
        <w:ind w:firstLine="540"/>
        <w:jc w:val="both"/>
      </w:pPr>
      <w:r>
        <w:rPr>
          <w:sz w:val="20"/>
        </w:rPr>
        <w:t xml:space="preserve">совершенствование работы по предотвращению детского дорожно-транспортного травматизма, формированию у детей навыков безопасного поведения на дорогах, повышению защищенности от дорожно-транспортных происшествий и их последствий для пешеходов.</w:t>
      </w:r>
    </w:p>
    <w:p>
      <w:pPr>
        <w:pStyle w:val="0"/>
      </w:pPr>
      <w:r>
        <w:rPr>
          <w:sz w:val="20"/>
        </w:rPr>
      </w:r>
    </w:p>
    <w:p>
      <w:pPr>
        <w:pStyle w:val="2"/>
        <w:outlineLvl w:val="2"/>
        <w:jc w:val="center"/>
      </w:pPr>
      <w:r>
        <w:rPr>
          <w:sz w:val="20"/>
        </w:rPr>
        <w:t xml:space="preserve">9.2. Развитие системы обеспечения</w:t>
      </w:r>
    </w:p>
    <w:p>
      <w:pPr>
        <w:pStyle w:val="2"/>
        <w:jc w:val="center"/>
      </w:pPr>
      <w:r>
        <w:rPr>
          <w:sz w:val="20"/>
        </w:rPr>
        <w:t xml:space="preserve">безопасности жизнедеятельности</w:t>
      </w:r>
    </w:p>
    <w:p>
      <w:pPr>
        <w:pStyle w:val="0"/>
      </w:pPr>
      <w:r>
        <w:rPr>
          <w:sz w:val="20"/>
        </w:rPr>
      </w:r>
    </w:p>
    <w:p>
      <w:pPr>
        <w:pStyle w:val="0"/>
        <w:ind w:firstLine="540"/>
        <w:jc w:val="both"/>
      </w:pPr>
      <w:r>
        <w:rPr>
          <w:sz w:val="20"/>
        </w:rPr>
        <w:t xml:space="preserve">Всего на территории Тульской области поставлено на учет 65 объекта, подлежащих федеральному государственному надзору и государственному надзору в области защиты населения и территорий от чрезвычайных ситуаций, в том числе 3 объекта - категории высокого риска, 22 объекта - категории значительного риска.</w:t>
      </w:r>
    </w:p>
    <w:p>
      <w:pPr>
        <w:pStyle w:val="0"/>
        <w:spacing w:before="200" w:lineRule="auto"/>
        <w:ind w:firstLine="540"/>
        <w:jc w:val="both"/>
      </w:pPr>
      <w:r>
        <w:rPr>
          <w:sz w:val="20"/>
        </w:rPr>
        <w:t xml:space="preserve">Сохраняется высокий уровень вероятности возникновения чрезвычайных ситуаций различного характера, в том числе крупных техногенных аварий и катастроф, риски паводков, затоплений и природных пожаров. Стихийные бедствия, связанные с опасными природными явлениями, пожарами, а также техногенные аварии являются основными источниками возникновения чрезвычайных ситуаций и представляют существенную угрозу для безопасности граждан.</w:t>
      </w:r>
    </w:p>
    <w:p>
      <w:pPr>
        <w:pStyle w:val="0"/>
        <w:spacing w:before="200" w:lineRule="auto"/>
        <w:ind w:firstLine="540"/>
        <w:jc w:val="both"/>
      </w:pPr>
      <w:r>
        <w:rPr>
          <w:sz w:val="20"/>
        </w:rPr>
        <w:t xml:space="preserve">На объектах надзора в области защиты населения и территорий от чрезвычайных ситуаций, расположенных на территории Тульской области, происшествий за 2024 год не зарегистрировано.</w:t>
      </w:r>
    </w:p>
    <w:p>
      <w:pPr>
        <w:pStyle w:val="0"/>
        <w:spacing w:before="200" w:lineRule="auto"/>
        <w:ind w:firstLine="540"/>
        <w:jc w:val="both"/>
      </w:pPr>
      <w:r>
        <w:rPr>
          <w:sz w:val="20"/>
        </w:rPr>
        <w:t xml:space="preserve">Одной из новейших и крайне значимых проблем для безопасности жизнедеятельности населения является угроза ущерба жизни и здоровью населения, функционированию хозяйственных комплексов в результате применения современных средств поражения по объектам экономики, а также обусловленные ими риски возникновения и последствия чрезвычайных ситуаций природного и техногенного характера и пожаров.</w:t>
      </w:r>
    </w:p>
    <w:p>
      <w:pPr>
        <w:pStyle w:val="0"/>
        <w:spacing w:before="200" w:lineRule="auto"/>
        <w:ind w:firstLine="540"/>
        <w:jc w:val="both"/>
      </w:pPr>
      <w:r>
        <w:rPr>
          <w:sz w:val="20"/>
        </w:rPr>
        <w:t xml:space="preserve">Стратегическая цель - повышение уровня защищенности населения, материальных и культурных ценностей от опасностей, возникающих при военных конфликтах или вследствие этих конфликтов, а также при чрезвычайных ситуациях, пожарах и происшествиях на водных объектах.</w:t>
      </w:r>
    </w:p>
    <w:p>
      <w:pPr>
        <w:pStyle w:val="0"/>
        <w:spacing w:before="200" w:lineRule="auto"/>
        <w:ind w:firstLine="540"/>
        <w:jc w:val="both"/>
      </w:pPr>
      <w:r>
        <w:rPr>
          <w:sz w:val="20"/>
        </w:rPr>
        <w:t xml:space="preserve">В соответствии с государственной </w:t>
      </w:r>
      <w:hyperlink w:history="0" r:id="rId36" w:tooltip="Постановление правительства Тульской области от 25.11.2013 N 668 (ред. от 22.05.2025) &quot;Об утверждении государственной программы Тульской области &quot;Защита населения и территорий Тульской области от чрезвычайных ситуаций, обеспечение пожарной безопасности&quot; (вместе с &quot;Составом управляющего совета государственной программы по должностям&quot;) {КонсультантПлюс}">
        <w:r>
          <w:rPr>
            <w:sz w:val="20"/>
            <w:color w:val="0000ff"/>
          </w:rPr>
          <w:t xml:space="preserve">программой</w:t>
        </w:r>
      </w:hyperlink>
      <w:r>
        <w:rPr>
          <w:sz w:val="20"/>
        </w:rPr>
        <w:t xml:space="preserve"> Тульской области "Защита населения и территорий Тульской области от чрезвычайных ситуаций, обеспечение пожарной безопасности" приоритетными задачами являются:</w:t>
      </w:r>
    </w:p>
    <w:p>
      <w:pPr>
        <w:pStyle w:val="0"/>
        <w:spacing w:before="200" w:lineRule="auto"/>
        <w:ind w:firstLine="540"/>
        <w:jc w:val="both"/>
      </w:pPr>
      <w:r>
        <w:rPr>
          <w:sz w:val="20"/>
        </w:rPr>
        <w:t xml:space="preserve">совершенствование защиты населения от опасностей, обусловленных возникновением чрезвычайных ситуаций;</w:t>
      </w:r>
    </w:p>
    <w:p>
      <w:pPr>
        <w:pStyle w:val="0"/>
        <w:spacing w:before="200" w:lineRule="auto"/>
        <w:ind w:firstLine="540"/>
        <w:jc w:val="both"/>
      </w:pPr>
      <w:r>
        <w:rPr>
          <w:sz w:val="20"/>
        </w:rPr>
        <w:t xml:space="preserve">повышение эффективности деятельности подразделений пожарной охраны по защите населения и территорий Тульской области от пожаров.</w:t>
      </w:r>
    </w:p>
    <w:p>
      <w:pPr>
        <w:pStyle w:val="0"/>
        <w:spacing w:before="200" w:lineRule="auto"/>
        <w:ind w:firstLine="540"/>
        <w:jc w:val="both"/>
      </w:pPr>
      <w:r>
        <w:rPr>
          <w:sz w:val="20"/>
        </w:rPr>
        <w:t xml:space="preserve">Для решения поставленных задач планируется реализовать мероприятия, направленные на:</w:t>
      </w:r>
    </w:p>
    <w:p>
      <w:pPr>
        <w:pStyle w:val="0"/>
        <w:spacing w:before="200" w:lineRule="auto"/>
        <w:ind w:firstLine="540"/>
        <w:jc w:val="both"/>
      </w:pPr>
      <w:r>
        <w:rPr>
          <w:sz w:val="20"/>
        </w:rPr>
        <w:t xml:space="preserve">развитие системы государственного управления в области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в том числе путем внедрения новых технологий;</w:t>
      </w:r>
    </w:p>
    <w:p>
      <w:pPr>
        <w:pStyle w:val="0"/>
        <w:spacing w:before="200" w:lineRule="auto"/>
        <w:ind w:firstLine="540"/>
        <w:jc w:val="both"/>
      </w:pPr>
      <w:r>
        <w:rPr>
          <w:sz w:val="20"/>
        </w:rPr>
        <w:t xml:space="preserve">создание условий для эффективной деятельности аварийно-спасательных служб и формирований, пожарно-спасательных подразделений с учетом приоритетов регионального развития;</w:t>
      </w:r>
    </w:p>
    <w:p>
      <w:pPr>
        <w:pStyle w:val="0"/>
        <w:spacing w:before="200" w:lineRule="auto"/>
        <w:ind w:firstLine="540"/>
        <w:jc w:val="both"/>
      </w:pPr>
      <w:r>
        <w:rPr>
          <w:sz w:val="20"/>
        </w:rPr>
        <w:t xml:space="preserve">применение передового опыта, практик и технологий по защите населения от чрезвычайных ситуаций природного и техногенного характера;</w:t>
      </w:r>
    </w:p>
    <w:p>
      <w:pPr>
        <w:pStyle w:val="0"/>
        <w:spacing w:before="200" w:lineRule="auto"/>
        <w:ind w:firstLine="540"/>
        <w:jc w:val="both"/>
      </w:pPr>
      <w:r>
        <w:rPr>
          <w:sz w:val="20"/>
        </w:rPr>
        <w:t xml:space="preserve">снижение количества людей, травмированных и погибших при чрезвычайных ситуациях.</w:t>
      </w:r>
    </w:p>
    <w:p>
      <w:pPr>
        <w:pStyle w:val="0"/>
      </w:pPr>
      <w:r>
        <w:rPr>
          <w:sz w:val="20"/>
        </w:rPr>
      </w:r>
    </w:p>
    <w:p>
      <w:pPr>
        <w:pStyle w:val="2"/>
        <w:outlineLvl w:val="2"/>
        <w:jc w:val="center"/>
      </w:pPr>
      <w:r>
        <w:rPr>
          <w:sz w:val="20"/>
        </w:rPr>
        <w:t xml:space="preserve">9.3. Развитие контрольной (надзорной) деятельности</w:t>
      </w:r>
    </w:p>
    <w:p>
      <w:pPr>
        <w:pStyle w:val="0"/>
      </w:pPr>
      <w:r>
        <w:rPr>
          <w:sz w:val="20"/>
        </w:rPr>
      </w:r>
    </w:p>
    <w:p>
      <w:pPr>
        <w:pStyle w:val="0"/>
        <w:ind w:firstLine="540"/>
        <w:jc w:val="both"/>
      </w:pPr>
      <w:r>
        <w:rPr>
          <w:sz w:val="20"/>
        </w:rPr>
        <w:t xml:space="preserve">Развитие контрольной (надзорной) деятельности предполагает:</w:t>
      </w:r>
    </w:p>
    <w:p>
      <w:pPr>
        <w:pStyle w:val="0"/>
        <w:spacing w:before="200" w:lineRule="auto"/>
        <w:ind w:firstLine="540"/>
        <w:jc w:val="both"/>
      </w:pPr>
      <w:r>
        <w:rPr>
          <w:sz w:val="20"/>
        </w:rPr>
        <w:t xml:space="preserve">профильное повышение квалификации должностных лиц органов исполнительной власти Тульской области, осуществляющих региональный государственный контроль (надзор), федеральный государственный контроль (надзор) в рамках переданных полномочий, муниципальный контроль в рамках переданных полномочий, и органов местного самоуправления в Тульской области, осуществляющих муниципальный контроль, их подведомственных учреждений (далее - контрольные (надзорные) органы), в должностные регламенты и должностные инструкции которых входит обязанность по осуществлению государственного контроля (надзора), муниципального контроля;</w:t>
      </w:r>
    </w:p>
    <w:p>
      <w:pPr>
        <w:pStyle w:val="0"/>
        <w:spacing w:before="200" w:lineRule="auto"/>
        <w:ind w:firstLine="540"/>
        <w:jc w:val="both"/>
      </w:pPr>
      <w:r>
        <w:rPr>
          <w:sz w:val="20"/>
        </w:rPr>
        <w:t xml:space="preserve">развитие инструментов профилактики нарушений обязательных требований;</w:t>
      </w:r>
    </w:p>
    <w:p>
      <w:pPr>
        <w:pStyle w:val="0"/>
        <w:spacing w:before="200" w:lineRule="auto"/>
        <w:ind w:firstLine="540"/>
        <w:jc w:val="both"/>
      </w:pPr>
      <w:r>
        <w:rPr>
          <w:sz w:val="20"/>
        </w:rPr>
        <w:t xml:space="preserve">проведение контрольными (надзорными) органами контрольных (надзорных) мероприятий с учетом риск-ориентированного подхода (по индикаторам риска) и повышение доли выявленных нарушений при их проведении;</w:t>
      </w:r>
    </w:p>
    <w:p>
      <w:pPr>
        <w:pStyle w:val="0"/>
        <w:spacing w:before="200" w:lineRule="auto"/>
        <w:ind w:firstLine="540"/>
        <w:jc w:val="both"/>
      </w:pPr>
      <w:r>
        <w:rPr>
          <w:sz w:val="20"/>
        </w:rPr>
        <w:t xml:space="preserve">увеличение доли контрольных (надзорных) и профилактических мероприятий, проведенных путем использования видео-конференц-связи или мобильного приложения "Инспектор";</w:t>
      </w:r>
    </w:p>
    <w:p>
      <w:pPr>
        <w:pStyle w:val="0"/>
        <w:spacing w:before="200" w:lineRule="auto"/>
        <w:ind w:firstLine="540"/>
        <w:jc w:val="both"/>
      </w:pPr>
      <w:r>
        <w:rPr>
          <w:sz w:val="20"/>
        </w:rPr>
        <w:t xml:space="preserve">внедрение устойчивой и эффективной обратной связи от контролируемых лиц при осуществлении контрольными (надзорными) органами государственного контроля (надзора), муниципального контроля;</w:t>
      </w:r>
    </w:p>
    <w:p>
      <w:pPr>
        <w:pStyle w:val="0"/>
        <w:spacing w:before="200" w:lineRule="auto"/>
        <w:ind w:firstLine="540"/>
        <w:jc w:val="both"/>
      </w:pPr>
      <w:r>
        <w:rPr>
          <w:sz w:val="20"/>
        </w:rPr>
        <w:t xml:space="preserve">повышение клиентоцентричности досудебного обжалования в деятельности контрольных (надзорных) органов;</w:t>
      </w:r>
    </w:p>
    <w:p>
      <w:pPr>
        <w:pStyle w:val="0"/>
        <w:spacing w:before="200" w:lineRule="auto"/>
        <w:ind w:firstLine="540"/>
        <w:jc w:val="both"/>
      </w:pPr>
      <w:r>
        <w:rPr>
          <w:sz w:val="20"/>
        </w:rPr>
        <w:t xml:space="preserve">внедрение беспилотных авиационных систем в деятельность контрольных (надзорных) органов, с учетом особенностей осуществляемого ими государственного контроля (надзора), муниципального контроля.</w:t>
      </w:r>
    </w:p>
    <w:p>
      <w:pPr>
        <w:pStyle w:val="0"/>
      </w:pPr>
      <w:r>
        <w:rPr>
          <w:sz w:val="20"/>
        </w:rPr>
      </w:r>
    </w:p>
    <w:p>
      <w:pPr>
        <w:pStyle w:val="2"/>
        <w:outlineLvl w:val="1"/>
        <w:jc w:val="center"/>
      </w:pPr>
      <w:r>
        <w:rPr>
          <w:sz w:val="20"/>
        </w:rPr>
        <w:t xml:space="preserve">10. Цифровая трансформация и технологическое развитие</w:t>
      </w:r>
    </w:p>
    <w:p>
      <w:pPr>
        <w:pStyle w:val="2"/>
        <w:jc w:val="center"/>
      </w:pPr>
      <w:r>
        <w:rPr>
          <w:sz w:val="20"/>
        </w:rPr>
        <w:t xml:space="preserve">Тульской области</w:t>
      </w:r>
    </w:p>
    <w:p>
      <w:pPr>
        <w:pStyle w:val="0"/>
      </w:pPr>
      <w:r>
        <w:rPr>
          <w:sz w:val="20"/>
        </w:rPr>
      </w:r>
    </w:p>
    <w:p>
      <w:pPr>
        <w:pStyle w:val="0"/>
        <w:ind w:firstLine="540"/>
        <w:jc w:val="both"/>
      </w:pPr>
      <w:r>
        <w:rPr>
          <w:sz w:val="20"/>
        </w:rPr>
        <w:t xml:space="preserve">Основой цифрового взаимодействия населения и бизнеса с государством являются федеральные и региональные электронные сервисы. Массовые социально значимые услуги переведены в электронный формат, но работа в данном направлении не останавливается. Для роста цифровой зрелости ключевых отраслей экономики и социальной сферы, выражающейся в повышении скорости, удобства и качества оказания государственных и муниципальных услуг, ведется активная совместная работа органов власти по реинжинирингу государственных и муниципальных услуг в рамках направлений бережливого управления и клиентоцентричности.</w:t>
      </w:r>
    </w:p>
    <w:p>
      <w:pPr>
        <w:pStyle w:val="0"/>
        <w:spacing w:before="200" w:lineRule="auto"/>
        <w:ind w:firstLine="540"/>
        <w:jc w:val="both"/>
      </w:pPr>
      <w:r>
        <w:rPr>
          <w:sz w:val="20"/>
        </w:rPr>
        <w:t xml:space="preserve">Региональная цифровая инфраструктура находится в стадии активного развития. Тульская область признается одним из лидеров цифровой трансформации, осуществляя переход на отечественные цифровые решения и внедряя современные информационные сервисы.</w:t>
      </w:r>
    </w:p>
    <w:p>
      <w:pPr>
        <w:pStyle w:val="0"/>
        <w:spacing w:before="200" w:lineRule="auto"/>
        <w:ind w:firstLine="540"/>
        <w:jc w:val="both"/>
      </w:pPr>
      <w:r>
        <w:rPr>
          <w:sz w:val="20"/>
        </w:rPr>
        <w:t xml:space="preserve">Внедрение технологий искусственного интеллекта является одним из перспективных направлений цифровизации региона. Тульская область в 2024 году вышла в финал Национальной премии "Лидеры ИИ" в области искусственного интеллекта. Пилотные проекты активно реализуются в отраслях социальной сферы.</w:t>
      </w:r>
    </w:p>
    <w:p>
      <w:pPr>
        <w:pStyle w:val="0"/>
        <w:spacing w:before="200" w:lineRule="auto"/>
        <w:ind w:firstLine="540"/>
        <w:jc w:val="both"/>
      </w:pPr>
      <w:r>
        <w:rPr>
          <w:sz w:val="20"/>
        </w:rPr>
        <w:t xml:space="preserve">В Тульской области 100% массовых социально значимых государственных и муниципальных услуг переведены в электронный формат на Единый портал государственных и муниципальных услуг (функций). Доля обращений граждан за этими массовыми социально значимыми государственными и муниципальными услугами в электронном виде достигла 97,87%, а средняя оценка их качества составляет 4,57 балла из 5. Регион является лидером в ЦФО по внедрению нового канала коммуникации через российский кроссплатформенный сервис мгновенного обмена сообщениями на базе одноименной цифровой системы мессенджер MAX для предоставления услуг. Активно ведется работа по развития проактивной модели оказания услуг, минимизируя необходимость подачи заявлений от граждан.</w:t>
      </w:r>
    </w:p>
    <w:p>
      <w:pPr>
        <w:pStyle w:val="0"/>
        <w:spacing w:before="200" w:lineRule="auto"/>
        <w:ind w:firstLine="540"/>
        <w:jc w:val="both"/>
      </w:pPr>
      <w:r>
        <w:rPr>
          <w:sz w:val="20"/>
        </w:rPr>
        <w:t xml:space="preserve">Реализована интеграция "Единой централизованной цифровой платформой в социальной сфере" с единым порталом государственных и муниципальных услуг (функций), как в качестве поставщика, так и в качестве потребителя видов сведений.</w:t>
      </w:r>
    </w:p>
    <w:p>
      <w:pPr>
        <w:pStyle w:val="0"/>
        <w:spacing w:before="200" w:lineRule="auto"/>
        <w:ind w:firstLine="540"/>
        <w:jc w:val="both"/>
      </w:pPr>
      <w:r>
        <w:rPr>
          <w:sz w:val="20"/>
        </w:rPr>
        <w:t xml:space="preserve">Осуществлена интеграция региональных ведомственных информационных систем Тульской области - региональная система электронная система Правительства, региональная информационная система здравоохранения Тульской области.</w:t>
      </w:r>
    </w:p>
    <w:p>
      <w:pPr>
        <w:pStyle w:val="0"/>
        <w:spacing w:before="200" w:lineRule="auto"/>
        <w:ind w:firstLine="540"/>
        <w:jc w:val="both"/>
      </w:pPr>
      <w:r>
        <w:rPr>
          <w:sz w:val="20"/>
        </w:rPr>
        <w:t xml:space="preserve">Реализовано межведомственное электронное взаимодействие с федеральными органами исполнительной власти Российской Федерации - Министерством внутренних дел Российской Федерации, Федеральным медико-биологическим агентством России, Федеральной службой государственной регистрации, кадастра и картографии России, Социальным фондом России, Федеральной налоговой службой России, Министерством обороны России, Федеральной службы судебных приставов России и иными поставщиками информации посредством системы межведомственного электронного взаимодействия.</w:t>
      </w:r>
    </w:p>
    <w:p>
      <w:pPr>
        <w:pStyle w:val="0"/>
        <w:spacing w:before="200" w:lineRule="auto"/>
        <w:ind w:firstLine="540"/>
        <w:jc w:val="both"/>
      </w:pPr>
      <w:r>
        <w:rPr>
          <w:sz w:val="20"/>
        </w:rPr>
        <w:t xml:space="preserve">Современные электронные сервисы в Тульской области обеспечивают высокий уровень цифрового взаимодействия с гражданами. При этом регион продолжает демонстрировать прогресс во внедрении более сложных комплексных решений. Для обеспечения качественного рывка необходимо перейти от автоматизации отдельных услуг к созданию комплексных цифровых сервисов, ориентированных на жизненные ситуации человека, внедрение сервисов сопровождения граждан на всех этапах, от подачи заявления до получения конечного результата, что требует совершенствования нормативно-правовой базы и оптимизации внутренних процессов, что позволит повысит качество и сократит время оказания услуг.</w:t>
      </w:r>
    </w:p>
    <w:p>
      <w:pPr>
        <w:pStyle w:val="0"/>
        <w:spacing w:before="200" w:lineRule="auto"/>
        <w:ind w:firstLine="540"/>
        <w:jc w:val="both"/>
      </w:pPr>
      <w:r>
        <w:rPr>
          <w:sz w:val="20"/>
        </w:rPr>
        <w:t xml:space="preserve">В Тульской области, одной из 10 пилотных субъектов Российской Федерации, реализуется план мероприятий ("дорожная карта") по внедрению использования электронных сервисов государственной информационной платформы "Национальная система пространственных данных" при предоставлении государственной и муниципальной услуги "Предоставление земельного участка, находящегося в государственной или муниципальной собственности, гражданину или юридическому лицу в собственность бесплатно".</w:t>
      </w:r>
    </w:p>
    <w:p>
      <w:pPr>
        <w:pStyle w:val="0"/>
        <w:spacing w:before="200" w:lineRule="auto"/>
        <w:ind w:firstLine="540"/>
        <w:jc w:val="both"/>
      </w:pPr>
      <w:r>
        <w:rPr>
          <w:sz w:val="20"/>
        </w:rPr>
        <w:t xml:space="preserve">Стратегическая цель цифровой трансформации и технологического развития Тульской области - постоянное повышение уровня цифровой зрелости государственного и муниципального управления, отраслей экономики и социальной сферы в интересах повышения темпов экономического развития, а также уровня и качества жизни населения.</w:t>
      </w:r>
    </w:p>
    <w:p>
      <w:pPr>
        <w:pStyle w:val="0"/>
        <w:spacing w:before="200" w:lineRule="auto"/>
        <w:ind w:firstLine="540"/>
        <w:jc w:val="both"/>
      </w:pPr>
      <w:r>
        <w:rPr>
          <w:sz w:val="20"/>
        </w:rPr>
        <w:t xml:space="preserve">Для достижения поставленной цели предполагается решить следующие основные задачи:</w:t>
      </w:r>
    </w:p>
    <w:p>
      <w:pPr>
        <w:pStyle w:val="0"/>
        <w:spacing w:before="200" w:lineRule="auto"/>
        <w:ind w:firstLine="540"/>
        <w:jc w:val="both"/>
      </w:pPr>
      <w:r>
        <w:rPr>
          <w:sz w:val="20"/>
        </w:rPr>
        <w:t xml:space="preserve">увеличение доли домохозяйств, которым обеспечена возможность качественного высокоскоростного широкополосного доступа в Интернет;</w:t>
      </w:r>
    </w:p>
    <w:p>
      <w:pPr>
        <w:pStyle w:val="0"/>
        <w:spacing w:before="200" w:lineRule="auto"/>
        <w:ind w:firstLine="540"/>
        <w:jc w:val="both"/>
      </w:pPr>
      <w:r>
        <w:rPr>
          <w:sz w:val="20"/>
        </w:rPr>
        <w:t xml:space="preserve">увеличение доли использования российского программного обеспечения в государственных органах, корпорациях, компаниях;</w:t>
      </w:r>
    </w:p>
    <w:p>
      <w:pPr>
        <w:pStyle w:val="0"/>
        <w:spacing w:before="200" w:lineRule="auto"/>
        <w:ind w:firstLine="540"/>
        <w:jc w:val="both"/>
      </w:pPr>
      <w:r>
        <w:rPr>
          <w:sz w:val="20"/>
        </w:rPr>
        <w:t xml:space="preserve">переход организаций ключевых отраслей экономики на использование базового и прикладного программного обеспечения российского происхождения и типовые отраслевые платформы;</w:t>
      </w:r>
    </w:p>
    <w:p>
      <w:pPr>
        <w:pStyle w:val="0"/>
        <w:spacing w:before="200" w:lineRule="auto"/>
        <w:ind w:firstLine="540"/>
        <w:jc w:val="both"/>
      </w:pPr>
      <w:r>
        <w:rPr>
          <w:sz w:val="20"/>
        </w:rPr>
        <w:t xml:space="preserve">увеличение доли предоставления популярных государственных и муниципальных услуг в электронной форме и проактивном режиме;</w:t>
      </w:r>
    </w:p>
    <w:p>
      <w:pPr>
        <w:pStyle w:val="0"/>
        <w:spacing w:before="200" w:lineRule="auto"/>
        <w:ind w:firstLine="540"/>
        <w:jc w:val="both"/>
      </w:pPr>
      <w:r>
        <w:rPr>
          <w:sz w:val="20"/>
        </w:rPr>
        <w:t xml:space="preserve">дальнейшее усиление мер по обеспечению информационной безопасности населения, предприятий и организаций, структур государственной и муниципальной власти;</w:t>
      </w:r>
    </w:p>
    <w:p>
      <w:pPr>
        <w:pStyle w:val="0"/>
        <w:spacing w:before="200" w:lineRule="auto"/>
        <w:ind w:firstLine="540"/>
        <w:jc w:val="both"/>
      </w:pPr>
      <w:r>
        <w:rPr>
          <w:sz w:val="20"/>
        </w:rPr>
        <w:t xml:space="preserve">оптимизация бюджетных расходов за счет автоматизации процессов, снижение административных затрат, повышение экономической эффективности органов власти;</w:t>
      </w:r>
    </w:p>
    <w:p>
      <w:pPr>
        <w:pStyle w:val="0"/>
        <w:spacing w:before="200" w:lineRule="auto"/>
        <w:ind w:firstLine="540"/>
        <w:jc w:val="both"/>
      </w:pPr>
      <w:r>
        <w:rPr>
          <w:sz w:val="20"/>
        </w:rPr>
        <w:t xml:space="preserve">увеличение доступности и качества государственных и муниципальных услуг, повышение уровня удовлетворенности граждан, улучшение вовлеченности населения в процессы управления;</w:t>
      </w:r>
    </w:p>
    <w:p>
      <w:pPr>
        <w:pStyle w:val="0"/>
        <w:spacing w:before="200" w:lineRule="auto"/>
        <w:ind w:firstLine="540"/>
        <w:jc w:val="both"/>
      </w:pPr>
      <w:r>
        <w:rPr>
          <w:sz w:val="20"/>
        </w:rPr>
        <w:t xml:space="preserve">обеспечение темпа прироста инвестиций в отечественные решения в сфере информационных технологий выше, чем темп прироста ВРП Тульской области.</w:t>
      </w:r>
    </w:p>
    <w:p>
      <w:pPr>
        <w:pStyle w:val="0"/>
        <w:spacing w:before="200" w:lineRule="auto"/>
        <w:ind w:firstLine="540"/>
        <w:jc w:val="both"/>
      </w:pPr>
      <w:r>
        <w:rPr>
          <w:sz w:val="20"/>
        </w:rPr>
        <w:t xml:space="preserve">Для выполнения поставленных задач запланированы следующие мероприятия:</w:t>
      </w:r>
    </w:p>
    <w:p>
      <w:pPr>
        <w:pStyle w:val="0"/>
        <w:spacing w:before="200" w:lineRule="auto"/>
        <w:ind w:firstLine="540"/>
        <w:jc w:val="both"/>
      </w:pPr>
      <w:r>
        <w:rPr>
          <w:sz w:val="20"/>
        </w:rPr>
        <w:t xml:space="preserve">автоматизация большей части транзакций в рамках единых отраслевых цифровых платформ, ускоренное внедрение технологий обработки больших объемов данных, машинного обучения и искусственного интеллекта;</w:t>
      </w:r>
    </w:p>
    <w:p>
      <w:pPr>
        <w:pStyle w:val="0"/>
        <w:spacing w:before="200" w:lineRule="auto"/>
        <w:ind w:firstLine="540"/>
        <w:jc w:val="both"/>
      </w:pPr>
      <w:r>
        <w:rPr>
          <w:sz w:val="20"/>
        </w:rPr>
        <w:t xml:space="preserve">дальнейшее увеличение доли домохозяйств, которым обеспечена возможность качественного высокоскоростного широкополосного доступа к сети "Интернет" за счет использования сетей (инфраструктуры) спутниковой и мобильной связи, установки дополнительных базовых станций и с учетом роста пропускной способности магистральной инфраструктуры;</w:t>
      </w:r>
    </w:p>
    <w:p>
      <w:pPr>
        <w:pStyle w:val="0"/>
        <w:spacing w:before="200" w:lineRule="auto"/>
        <w:ind w:firstLine="540"/>
        <w:jc w:val="both"/>
      </w:pPr>
      <w:r>
        <w:rPr>
          <w:sz w:val="20"/>
        </w:rPr>
        <w:t xml:space="preserve">повышение прозрачности и открытости работы органов власти, улучшение мониторинга и контроля исполнения бюджетов и реализации программ;</w:t>
      </w:r>
    </w:p>
    <w:p>
      <w:pPr>
        <w:pStyle w:val="0"/>
        <w:spacing w:before="200" w:lineRule="auto"/>
        <w:ind w:firstLine="540"/>
        <w:jc w:val="both"/>
      </w:pPr>
      <w:r>
        <w:rPr>
          <w:sz w:val="20"/>
        </w:rPr>
        <w:t xml:space="preserve">опережающий рост финансирования поставок отечественного прикладного программного обеспечения и отечественных средств защиты информации;</w:t>
      </w:r>
    </w:p>
    <w:p>
      <w:pPr>
        <w:pStyle w:val="0"/>
        <w:spacing w:before="200" w:lineRule="auto"/>
        <w:ind w:firstLine="540"/>
        <w:jc w:val="both"/>
      </w:pPr>
      <w:r>
        <w:rPr>
          <w:sz w:val="20"/>
        </w:rPr>
        <w:t xml:space="preserve">повышение уровня компетенций сотрудников в области обеспечения информационной безопасности и кибербезопасности;</w:t>
      </w:r>
    </w:p>
    <w:p>
      <w:pPr>
        <w:pStyle w:val="0"/>
        <w:spacing w:before="200" w:lineRule="auto"/>
        <w:ind w:firstLine="540"/>
        <w:jc w:val="both"/>
      </w:pPr>
      <w:r>
        <w:rPr>
          <w:sz w:val="20"/>
        </w:rPr>
        <w:t xml:space="preserve">реализация программы субсидирования операторов связи, работающих в сельской местности;</w:t>
      </w:r>
    </w:p>
    <w:p>
      <w:pPr>
        <w:pStyle w:val="0"/>
        <w:spacing w:before="200" w:lineRule="auto"/>
        <w:ind w:firstLine="540"/>
        <w:jc w:val="both"/>
      </w:pPr>
      <w:r>
        <w:rPr>
          <w:sz w:val="20"/>
        </w:rPr>
        <w:t xml:space="preserve">внедрение аналитики данных и искусственного интеллекта, повышение уровня защиты информации.</w:t>
      </w:r>
    </w:p>
    <w:p>
      <w:pPr>
        <w:pStyle w:val="0"/>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разделов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260" w:lineRule="auto"/>
        <w:outlineLvl w:val="1"/>
        <w:jc w:val="center"/>
      </w:pPr>
      <w:r>
        <w:rPr>
          <w:sz w:val="20"/>
        </w:rPr>
        <w:t xml:space="preserve">12. Межрегиональное и международное сотрудничество</w:t>
      </w:r>
    </w:p>
    <w:p>
      <w:pPr>
        <w:pStyle w:val="0"/>
      </w:pPr>
      <w:r>
        <w:rPr>
          <w:sz w:val="20"/>
        </w:rPr>
      </w:r>
    </w:p>
    <w:p>
      <w:pPr>
        <w:pStyle w:val="2"/>
        <w:outlineLvl w:val="2"/>
        <w:jc w:val="center"/>
      </w:pPr>
      <w:r>
        <w:rPr>
          <w:sz w:val="20"/>
        </w:rPr>
        <w:t xml:space="preserve">12.1. Механизмы продвижения Тульской области</w:t>
      </w:r>
    </w:p>
    <w:p>
      <w:pPr>
        <w:pStyle w:val="2"/>
        <w:jc w:val="center"/>
      </w:pPr>
      <w:r>
        <w:rPr>
          <w:sz w:val="20"/>
        </w:rPr>
        <w:t xml:space="preserve">на внутреннем и внешних рынках</w:t>
      </w:r>
    </w:p>
    <w:p>
      <w:pPr>
        <w:pStyle w:val="0"/>
      </w:pPr>
      <w:r>
        <w:rPr>
          <w:sz w:val="20"/>
        </w:rPr>
      </w:r>
    </w:p>
    <w:p>
      <w:pPr>
        <w:pStyle w:val="0"/>
        <w:ind w:firstLine="540"/>
        <w:jc w:val="both"/>
      </w:pPr>
      <w:r>
        <w:rPr>
          <w:sz w:val="20"/>
        </w:rPr>
        <w:t xml:space="preserve">В формировании внешнеэкономической политики Тульская область исходит из перспективности и целесообразности вложения ресурсов в разработку сотрудничества в той или иной сфере с зарубежными партнерами.</w:t>
      </w:r>
    </w:p>
    <w:p>
      <w:pPr>
        <w:pStyle w:val="0"/>
        <w:spacing w:before="200" w:lineRule="auto"/>
        <w:ind w:firstLine="540"/>
        <w:jc w:val="both"/>
      </w:pPr>
      <w:r>
        <w:rPr>
          <w:sz w:val="20"/>
        </w:rPr>
        <w:t xml:space="preserve">К основным инструментам относятся:</w:t>
      </w:r>
    </w:p>
    <w:p>
      <w:pPr>
        <w:pStyle w:val="0"/>
        <w:spacing w:before="200" w:lineRule="auto"/>
        <w:ind w:firstLine="540"/>
        <w:jc w:val="both"/>
      </w:pPr>
      <w:r>
        <w:rPr>
          <w:sz w:val="20"/>
        </w:rPr>
        <w:t xml:space="preserve">прямые контакты с представителями коммерческих, общественных и государственных структур иностранных государств;</w:t>
      </w:r>
    </w:p>
    <w:p>
      <w:pPr>
        <w:pStyle w:val="0"/>
        <w:spacing w:before="200" w:lineRule="auto"/>
        <w:ind w:firstLine="540"/>
        <w:jc w:val="both"/>
      </w:pPr>
      <w:r>
        <w:rPr>
          <w:sz w:val="20"/>
        </w:rPr>
        <w:t xml:space="preserve">расширение каналов презентации потенциала региона с использованием онлайн-платформ, средств массовой информации (далее - СМИ), а также презентационно-выставочных мероприятий международного формата;</w:t>
      </w:r>
    </w:p>
    <w:p>
      <w:pPr>
        <w:pStyle w:val="0"/>
        <w:spacing w:before="200" w:lineRule="auto"/>
        <w:ind w:firstLine="540"/>
        <w:jc w:val="both"/>
      </w:pPr>
      <w:r>
        <w:rPr>
          <w:sz w:val="20"/>
        </w:rPr>
        <w:t xml:space="preserve">организация представительств Тульской области в целевых странах;</w:t>
      </w:r>
    </w:p>
    <w:p>
      <w:pPr>
        <w:pStyle w:val="0"/>
        <w:spacing w:before="200" w:lineRule="auto"/>
        <w:ind w:firstLine="540"/>
        <w:jc w:val="both"/>
      </w:pPr>
      <w:r>
        <w:rPr>
          <w:sz w:val="20"/>
        </w:rPr>
        <w:t xml:space="preserve">участие в работе Межправительственных комиссий по торгово-экономическому и научно-техническому сотрудничеству;</w:t>
      </w:r>
    </w:p>
    <w:p>
      <w:pPr>
        <w:pStyle w:val="0"/>
        <w:spacing w:before="200" w:lineRule="auto"/>
        <w:ind w:firstLine="540"/>
        <w:jc w:val="both"/>
      </w:pPr>
      <w:r>
        <w:rPr>
          <w:sz w:val="20"/>
        </w:rPr>
        <w:t xml:space="preserve">взаимодействие с федеральными институтами развития внешних связей, в том числе с посольствами Российской Федерации, подразделениями Федерального агентства по делам СНГ, соотечественников, проживающих за рубежом, и по международному гуманитарному сотрудничеству, торговыми представительствами и представительствами Российского экспортного центра (далее - РЭЦ) за рубежом;</w:t>
      </w:r>
    </w:p>
    <w:p>
      <w:pPr>
        <w:pStyle w:val="0"/>
        <w:spacing w:before="200" w:lineRule="auto"/>
        <w:ind w:firstLine="540"/>
        <w:jc w:val="both"/>
      </w:pPr>
      <w:r>
        <w:rPr>
          <w:sz w:val="20"/>
        </w:rPr>
        <w:t xml:space="preserve">организация визитов официальных делегаций Тульской области, а также прием делегаций на территории Тульской области;</w:t>
      </w:r>
    </w:p>
    <w:p>
      <w:pPr>
        <w:pStyle w:val="0"/>
        <w:spacing w:before="200" w:lineRule="auto"/>
        <w:ind w:firstLine="540"/>
        <w:jc w:val="both"/>
      </w:pPr>
      <w:r>
        <w:rPr>
          <w:sz w:val="20"/>
        </w:rPr>
        <w:t xml:space="preserve">участие Тульской области в работе межстрановых организаций сотрудничества таких как Шанхайская организация сотрудничества, межгосударственное объединение Бразилии, России, Индии, Китая и ЮАР, Евразийский экономический союз и других;</w:t>
      </w:r>
    </w:p>
    <w:p>
      <w:pPr>
        <w:pStyle w:val="0"/>
        <w:spacing w:before="200" w:lineRule="auto"/>
        <w:ind w:firstLine="540"/>
        <w:jc w:val="both"/>
      </w:pPr>
      <w:r>
        <w:rPr>
          <w:sz w:val="20"/>
        </w:rPr>
        <w:t xml:space="preserve">популяризация среди муниципальных образований Тульской области институтов побратимства с административно-территориальными единицами иностранных государств.</w:t>
      </w:r>
    </w:p>
    <w:p>
      <w:pPr>
        <w:pStyle w:val="0"/>
        <w:spacing w:before="200" w:lineRule="auto"/>
        <w:ind w:firstLine="540"/>
        <w:jc w:val="both"/>
      </w:pPr>
      <w:r>
        <w:rPr>
          <w:sz w:val="20"/>
        </w:rPr>
        <w:t xml:space="preserve">В целях увеличения охвата потенциальных инвесторов следует расширить свое присутствие в наиболее авторитетных иностранных профильных СМИ (тематические издания, журналы, рейтинги, порталы и прочее).</w:t>
      </w:r>
    </w:p>
    <w:p>
      <w:pPr>
        <w:pStyle w:val="0"/>
        <w:spacing w:before="200" w:lineRule="auto"/>
        <w:ind w:firstLine="540"/>
        <w:jc w:val="both"/>
      </w:pPr>
      <w:r>
        <w:rPr>
          <w:sz w:val="20"/>
        </w:rPr>
        <w:t xml:space="preserve">Потребуется проведение качественного структурного анализа отраслей промышленности региона.</w:t>
      </w:r>
    </w:p>
    <w:p>
      <w:pPr>
        <w:pStyle w:val="0"/>
        <w:spacing w:before="200" w:lineRule="auto"/>
        <w:ind w:firstLine="540"/>
        <w:jc w:val="both"/>
      </w:pPr>
      <w:r>
        <w:rPr>
          <w:sz w:val="20"/>
        </w:rPr>
        <w:t xml:space="preserve">Задача - удержание существующих позиций Тульской области на внешних рынках посредством сохранения (и/или увеличения) объемов экспорта традиционных для региона видов продукции (металлы, продукция химической промышленности, технологическое оборудование, продукция агропромышленного комплекса), последовательного наращивания объемов несырьевого, высокотехнологичного экспорта, а также расширение географии поставок.</w:t>
      </w:r>
    </w:p>
    <w:p>
      <w:pPr>
        <w:pStyle w:val="0"/>
        <w:spacing w:before="200" w:lineRule="auto"/>
        <w:ind w:firstLine="540"/>
        <w:jc w:val="both"/>
      </w:pPr>
      <w:r>
        <w:rPr>
          <w:sz w:val="20"/>
        </w:rPr>
        <w:t xml:space="preserve">На основе глубокого анализа действующих в регионе производств, во взаимодействии с крупнейшими компаниями, необходимо сформировать ключевые модельные инвестиционные проекты с подробным описанием перспектив таких проектов как с точки зрения рынков сбыта, так и с точки зрения бизнес-моделей реализации. Важным фактором является прогнозирование изменения структуры промышленности и появления предприятий, способных внести существенные изменения в отраслях производства товаров и услуг, в горизонте пятилетней инвестиционной фазы действующих, запущенных инвестиционных проектов или проектов в высокой стадии готовности.</w:t>
      </w:r>
    </w:p>
    <w:p>
      <w:pPr>
        <w:pStyle w:val="0"/>
        <w:spacing w:before="200" w:lineRule="auto"/>
        <w:ind w:firstLine="540"/>
        <w:jc w:val="both"/>
      </w:pPr>
      <w:r>
        <w:rPr>
          <w:sz w:val="20"/>
        </w:rPr>
        <w:t xml:space="preserve">Отдельно стоит отметить необходимость усиления контроля за инвестициями в стратегически значимые сектора экономики Тульской области во избежание возникновения потенциальных угроз региональной безопасности.</w:t>
      </w:r>
    </w:p>
    <w:p>
      <w:pPr>
        <w:pStyle w:val="0"/>
        <w:spacing w:before="200" w:lineRule="auto"/>
        <w:ind w:firstLine="540"/>
        <w:jc w:val="both"/>
      </w:pPr>
      <w:r>
        <w:rPr>
          <w:sz w:val="20"/>
        </w:rPr>
        <w:t xml:space="preserve">Для выполнения поставленных задач запланированы следующие мероприятия:</w:t>
      </w:r>
    </w:p>
    <w:p>
      <w:pPr>
        <w:pStyle w:val="0"/>
        <w:spacing w:before="200" w:lineRule="auto"/>
        <w:ind w:firstLine="540"/>
        <w:jc w:val="both"/>
      </w:pPr>
      <w:r>
        <w:rPr>
          <w:sz w:val="20"/>
        </w:rPr>
        <w:t xml:space="preserve">совершенствование региональной системы государственной поддержки экспорта с участием РЭЦ;</w:t>
      </w:r>
    </w:p>
    <w:p>
      <w:pPr>
        <w:pStyle w:val="0"/>
        <w:spacing w:before="200" w:lineRule="auto"/>
        <w:ind w:firstLine="540"/>
        <w:jc w:val="both"/>
      </w:pPr>
      <w:r>
        <w:rPr>
          <w:sz w:val="20"/>
        </w:rPr>
        <w:t xml:space="preserve">создание ассоциаций и объединений экспортеров с целью формирования единой ценовой политики и защиты своих интересов;</w:t>
      </w:r>
    </w:p>
    <w:p>
      <w:pPr>
        <w:pStyle w:val="0"/>
        <w:spacing w:before="200" w:lineRule="auto"/>
        <w:ind w:firstLine="540"/>
        <w:jc w:val="both"/>
      </w:pPr>
      <w:r>
        <w:rPr>
          <w:sz w:val="20"/>
        </w:rPr>
        <w:t xml:space="preserve">развитие электронной торговли посредством создания специализированных электронных площадок и выхода на международные товарные электронные площадки;</w:t>
      </w:r>
    </w:p>
    <w:p>
      <w:pPr>
        <w:pStyle w:val="0"/>
        <w:spacing w:before="200" w:lineRule="auto"/>
        <w:ind w:firstLine="540"/>
        <w:jc w:val="both"/>
      </w:pPr>
      <w:r>
        <w:rPr>
          <w:sz w:val="20"/>
        </w:rPr>
        <w:t xml:space="preserve">более активное вовлечение экспортно ориентированных предприятий в систему поддержки экспорта, в том числе из сегмента малого и среднего бизнеса;</w:t>
      </w:r>
    </w:p>
    <w:p>
      <w:pPr>
        <w:pStyle w:val="0"/>
        <w:spacing w:before="200" w:lineRule="auto"/>
        <w:ind w:firstLine="540"/>
        <w:jc w:val="both"/>
      </w:pPr>
      <w:r>
        <w:rPr>
          <w:sz w:val="20"/>
        </w:rPr>
        <w:t xml:space="preserve">продвижение регионального бренда на внешних рынках.</w:t>
      </w:r>
    </w:p>
    <w:p>
      <w:pPr>
        <w:pStyle w:val="0"/>
      </w:pPr>
      <w:r>
        <w:rPr>
          <w:sz w:val="20"/>
        </w:rPr>
      </w:r>
    </w:p>
    <w:p>
      <w:pPr>
        <w:pStyle w:val="2"/>
        <w:outlineLvl w:val="2"/>
        <w:jc w:val="center"/>
      </w:pPr>
      <w:r>
        <w:rPr>
          <w:sz w:val="20"/>
        </w:rPr>
        <w:t xml:space="preserve">12.2. Развитие межрегионального и международного</w:t>
      </w:r>
    </w:p>
    <w:p>
      <w:pPr>
        <w:pStyle w:val="2"/>
        <w:jc w:val="center"/>
      </w:pPr>
      <w:r>
        <w:rPr>
          <w:sz w:val="20"/>
        </w:rPr>
        <w:t xml:space="preserve">сотрудничества Тульской области</w:t>
      </w:r>
    </w:p>
    <w:p>
      <w:pPr>
        <w:pStyle w:val="0"/>
      </w:pPr>
      <w:r>
        <w:rPr>
          <w:sz w:val="20"/>
        </w:rPr>
      </w:r>
    </w:p>
    <w:p>
      <w:pPr>
        <w:pStyle w:val="0"/>
        <w:ind w:firstLine="540"/>
        <w:jc w:val="both"/>
      </w:pPr>
      <w:r>
        <w:rPr>
          <w:sz w:val="20"/>
        </w:rPr>
        <w:t xml:space="preserve">Тульская область славится своей уникальной культурой, богатством исторических памятников и великолепной природой и идеально подходит для познавательного отдыха, активного туризма и культурного обогащения. Тульская область активно поддерживает контакты на международном и межрегиональном уровне в социально-гуманитарных сферах: культуре, спорте, образовании и науке.</w:t>
      </w:r>
    </w:p>
    <w:p>
      <w:pPr>
        <w:pStyle w:val="0"/>
        <w:spacing w:before="200" w:lineRule="auto"/>
        <w:ind w:firstLine="540"/>
        <w:jc w:val="both"/>
      </w:pPr>
      <w:r>
        <w:rPr>
          <w:sz w:val="20"/>
        </w:rPr>
        <w:t xml:space="preserve">Одним из перспективных экспансивных инструментов внешнеэкономической политики станет организация представительств региона в целевых странах. Такие представительства могут быть организованы как собственный филиал, партнер, представляющий интересы Тульской области, сотрудник, прикомандированный к соответствующему Торговому представительству Российской Федерации или представительство в кооперации с Тульской торгово-промышленной палатой. Важнейшей характеристикой представительства Тульской области должна стать способность представлять интересы региона по широкому кругу профилей внешнеэкономической деятельности.</w:t>
      </w:r>
    </w:p>
    <w:p>
      <w:pPr>
        <w:pStyle w:val="0"/>
        <w:spacing w:before="200" w:lineRule="auto"/>
        <w:ind w:firstLine="540"/>
        <w:jc w:val="both"/>
      </w:pPr>
      <w:r>
        <w:rPr>
          <w:sz w:val="20"/>
        </w:rPr>
        <w:t xml:space="preserve">В сфере межрегиональных связей Тульская область демонстрирует активное взаимодействие с субъектами Российской Федерации. Наиболее тесные кооперационные и торговые связи исторически сложились с регионами ЦФО, прежде всего с Москвой и Московской областью, которые являются основными потребителями тульской промышленной и сельскохозяйственной продукции, а также ключевыми поставщиками товаров, услуг и инвестиций. Развиваются связи с Липецкой, Калужской, Рязанской и Орловской областями в рамках как производственной кооперации (машиностроение, агропромышленный комплекс), так и реализации совместных инфраструктурных и культурных проектов. Область активно участвует в межрегиональных ассоциациях экономического взаимодействия.</w:t>
      </w:r>
    </w:p>
    <w:p>
      <w:pPr>
        <w:pStyle w:val="0"/>
        <w:spacing w:before="200" w:lineRule="auto"/>
        <w:ind w:firstLine="540"/>
        <w:jc w:val="both"/>
      </w:pPr>
      <w:r>
        <w:rPr>
          <w:sz w:val="20"/>
        </w:rPr>
        <w:t xml:space="preserve">Достижение стратегических целевых ориентиров предусматривает выбор региональных и страновых приоритетов внешнеэкономической политики.</w:t>
      </w:r>
    </w:p>
    <w:p>
      <w:pPr>
        <w:pStyle w:val="0"/>
        <w:spacing w:before="200" w:lineRule="auto"/>
        <w:ind w:firstLine="540"/>
        <w:jc w:val="both"/>
      </w:pPr>
      <w:r>
        <w:rPr>
          <w:sz w:val="20"/>
        </w:rPr>
        <w:t xml:space="preserve">Ключевой особенностью внешнеэкономического профиля Тульской области является его высокая концентрация. Порядка 80% всего регионального экспорта (как в натуральном, так и в стоимостном выражении) обеспечивается тремя товарными группами:</w:t>
      </w:r>
    </w:p>
    <w:p>
      <w:pPr>
        <w:pStyle w:val="0"/>
        <w:spacing w:before="200" w:lineRule="auto"/>
        <w:ind w:firstLine="540"/>
        <w:jc w:val="both"/>
      </w:pPr>
      <w:r>
        <w:rPr>
          <w:sz w:val="20"/>
        </w:rPr>
        <w:t xml:space="preserve">минеральные удобрения (около 30% экспорта). Производство сосредоточено на таких предприятиях, как акционерное общество "Щекиноазот" и общество с ограниченной ответственностью "Еврохим-УКК";</w:t>
      </w:r>
    </w:p>
    <w:p>
      <w:pPr>
        <w:pStyle w:val="0"/>
        <w:spacing w:before="200" w:lineRule="auto"/>
        <w:ind w:firstLine="540"/>
        <w:jc w:val="both"/>
      </w:pPr>
      <w:r>
        <w:rPr>
          <w:sz w:val="20"/>
        </w:rPr>
        <w:t xml:space="preserve">химические продукты (около 30% экспорта). Включают продукцию органической и неорганической химии, производимую на площадках акционерного общества "Химсинтез", акционерного общества "Щекиноазот" и других;</w:t>
      </w:r>
    </w:p>
    <w:p>
      <w:pPr>
        <w:pStyle w:val="0"/>
        <w:spacing w:before="200" w:lineRule="auto"/>
        <w:ind w:firstLine="540"/>
        <w:jc w:val="both"/>
      </w:pPr>
      <w:r>
        <w:rPr>
          <w:sz w:val="20"/>
        </w:rPr>
        <w:t xml:space="preserve">черные металлы и изделия из них (около 20% экспорта). Основной объем обеспечивает публичное акционерное общество "Тулачермет".</w:t>
      </w:r>
    </w:p>
    <w:p>
      <w:pPr>
        <w:pStyle w:val="0"/>
        <w:spacing w:before="200" w:lineRule="auto"/>
        <w:ind w:firstLine="540"/>
        <w:jc w:val="both"/>
      </w:pPr>
      <w:r>
        <w:rPr>
          <w:sz w:val="20"/>
        </w:rPr>
        <w:t xml:space="preserve">Такая структура экспорта свидетельствует о сильной зависимости внешнеэкономических доходов области от конъюнктуры мировых рынков сырьевых и низкопередельных товаров.</w:t>
      </w:r>
    </w:p>
    <w:p>
      <w:pPr>
        <w:pStyle w:val="0"/>
        <w:spacing w:before="200" w:lineRule="auto"/>
        <w:ind w:firstLine="540"/>
        <w:jc w:val="both"/>
      </w:pPr>
      <w:r>
        <w:rPr>
          <w:sz w:val="20"/>
        </w:rPr>
        <w:t xml:space="preserve">Стратегическая цель - формирование диверсифицированной, устойчивой и сбалансированной модели внешнеэкономических и межрегиональных связей, способствующей опережающему социально-экономическому развитию Тульской области, интеграции региона в национальные и глобальные цепочки создания добавленной стоимости.</w:t>
      </w:r>
    </w:p>
    <w:p>
      <w:pPr>
        <w:pStyle w:val="0"/>
        <w:spacing w:before="200" w:lineRule="auto"/>
        <w:ind w:firstLine="540"/>
        <w:jc w:val="both"/>
      </w:pPr>
      <w:r>
        <w:rPr>
          <w:sz w:val="20"/>
        </w:rPr>
        <w:t xml:space="preserve">Для достижения поставленной цели предполагается решить следующие основные задачи:</w:t>
      </w:r>
    </w:p>
    <w:p>
      <w:pPr>
        <w:pStyle w:val="0"/>
        <w:spacing w:before="200" w:lineRule="auto"/>
        <w:ind w:firstLine="540"/>
        <w:jc w:val="both"/>
      </w:pPr>
      <w:r>
        <w:rPr>
          <w:sz w:val="20"/>
        </w:rPr>
        <w:t xml:space="preserve">диверсификация номенклатуры и географии экспорта за счет стимулирования поставок несырьевой, в том числе высокотехнологичной продукции;</w:t>
      </w:r>
    </w:p>
    <w:p>
      <w:pPr>
        <w:pStyle w:val="0"/>
        <w:spacing w:before="200" w:lineRule="auto"/>
        <w:ind w:firstLine="540"/>
        <w:jc w:val="both"/>
      </w:pPr>
      <w:r>
        <w:rPr>
          <w:sz w:val="20"/>
        </w:rPr>
        <w:t xml:space="preserve">повышение эффективности и расширение масштабов межрегионального сотрудничества, прежде всего в сфере промышленной кооперации, научно-технического обмена и реализации совместных инвестиционных проектов;</w:t>
      </w:r>
    </w:p>
    <w:p>
      <w:pPr>
        <w:pStyle w:val="0"/>
        <w:spacing w:before="200" w:lineRule="auto"/>
        <w:ind w:firstLine="540"/>
        <w:jc w:val="both"/>
      </w:pPr>
      <w:r>
        <w:rPr>
          <w:sz w:val="20"/>
        </w:rPr>
        <w:t xml:space="preserve">формирование сети устойчивых партнерств с иностранными государствами и создание необходимой инфраструктуры для внешнеэкономической деятельности, технологической и промышленной кооперации и освоения новых рынков;</w:t>
      </w:r>
    </w:p>
    <w:p>
      <w:pPr>
        <w:pStyle w:val="0"/>
        <w:spacing w:before="200" w:lineRule="auto"/>
        <w:ind w:firstLine="540"/>
        <w:jc w:val="both"/>
      </w:pPr>
      <w:r>
        <w:rPr>
          <w:sz w:val="20"/>
        </w:rPr>
        <w:t xml:space="preserve">создание благоприятных условий для привлечения в экономику региона иностранных и российских (внерегиональных) инвестиций;</w:t>
      </w:r>
    </w:p>
    <w:p>
      <w:pPr>
        <w:pStyle w:val="0"/>
        <w:spacing w:before="200" w:lineRule="auto"/>
        <w:ind w:firstLine="540"/>
        <w:jc w:val="both"/>
      </w:pPr>
      <w:r>
        <w:rPr>
          <w:sz w:val="20"/>
        </w:rPr>
        <w:t xml:space="preserve">комплексная поддержка предприятий-экспортеров, включая оказание информационной, консультационной и финансовой помощи;</w:t>
      </w:r>
    </w:p>
    <w:p>
      <w:pPr>
        <w:pStyle w:val="0"/>
        <w:spacing w:before="200" w:lineRule="auto"/>
        <w:ind w:firstLine="540"/>
        <w:jc w:val="both"/>
      </w:pPr>
      <w:r>
        <w:rPr>
          <w:sz w:val="20"/>
        </w:rPr>
        <w:t xml:space="preserve">развитие транспортно-логистической инфраструктуры, обеспечивающей внешнеэкономические и межрегиональные связи.</w:t>
      </w:r>
    </w:p>
    <w:p>
      <w:pPr>
        <w:pStyle w:val="0"/>
        <w:spacing w:before="200" w:lineRule="auto"/>
        <w:ind w:firstLine="540"/>
        <w:jc w:val="both"/>
      </w:pPr>
      <w:r>
        <w:rPr>
          <w:sz w:val="20"/>
        </w:rPr>
        <w:t xml:space="preserve">Для выполнения поставленных задач запланированы следующие мероприятия:</w:t>
      </w:r>
    </w:p>
    <w:p>
      <w:pPr>
        <w:pStyle w:val="0"/>
        <w:spacing w:before="200" w:lineRule="auto"/>
        <w:ind w:firstLine="540"/>
        <w:jc w:val="both"/>
      </w:pPr>
      <w:r>
        <w:rPr>
          <w:sz w:val="20"/>
        </w:rPr>
        <w:t xml:space="preserve">оказание государственной поддержки предприятиям-экспортерам;</w:t>
      </w:r>
    </w:p>
    <w:p>
      <w:pPr>
        <w:pStyle w:val="0"/>
        <w:spacing w:before="200" w:lineRule="auto"/>
        <w:ind w:firstLine="540"/>
        <w:jc w:val="both"/>
      </w:pPr>
      <w:r>
        <w:rPr>
          <w:sz w:val="20"/>
        </w:rPr>
        <w:t xml:space="preserve">организация и участие в межрегиональных и международных выставках-ярмарках, бизнес-миссиях, деловых форумах для продвижения тульской продукции и установления новых деловых контактов;</w:t>
      </w:r>
    </w:p>
    <w:p>
      <w:pPr>
        <w:pStyle w:val="0"/>
        <w:spacing w:before="200" w:lineRule="auto"/>
        <w:ind w:firstLine="540"/>
        <w:jc w:val="both"/>
      </w:pPr>
      <w:r>
        <w:rPr>
          <w:sz w:val="20"/>
        </w:rPr>
        <w:t xml:space="preserve">активное участие в работе Совета при Полномочном представителе Президента Российской Федерации в ЦФО, отраслевых и межрегиональных рабочих групп для координации совместных действий;</w:t>
      </w:r>
    </w:p>
    <w:p>
      <w:pPr>
        <w:pStyle w:val="0"/>
        <w:spacing w:before="200" w:lineRule="auto"/>
        <w:ind w:firstLine="540"/>
        <w:jc w:val="both"/>
      </w:pPr>
      <w:r>
        <w:rPr>
          <w:sz w:val="20"/>
        </w:rPr>
        <w:t xml:space="preserve">усиленная интеграция с ключевым рынком сбыта - Москвой и Московской областью, так как московская агломерация - главный потребитель тульской продукции и источник внешних инвестиций;</w:t>
      </w:r>
    </w:p>
    <w:p>
      <w:pPr>
        <w:pStyle w:val="0"/>
        <w:spacing w:before="200" w:lineRule="auto"/>
        <w:ind w:firstLine="540"/>
        <w:jc w:val="both"/>
      </w:pPr>
      <w:r>
        <w:rPr>
          <w:sz w:val="20"/>
        </w:rPr>
        <w:t xml:space="preserve">стимулирование создания консорциумов тульских предприятий с компаниями из других регионов Российской Федерации для совместного выхода на внешние рынки и реализации крупных проектов;</w:t>
      </w:r>
    </w:p>
    <w:p>
      <w:pPr>
        <w:pStyle w:val="0"/>
        <w:spacing w:before="200" w:lineRule="auto"/>
        <w:ind w:firstLine="540"/>
        <w:jc w:val="both"/>
      </w:pPr>
      <w:r>
        <w:rPr>
          <w:sz w:val="20"/>
        </w:rPr>
        <w:t xml:space="preserve">развитие образовательных программ и программ стажировок для представителей бизнеса в сфере внешнеэкономической деятельности;</w:t>
      </w:r>
    </w:p>
    <w:p>
      <w:pPr>
        <w:pStyle w:val="0"/>
        <w:spacing w:before="200" w:lineRule="auto"/>
        <w:ind w:firstLine="540"/>
        <w:jc w:val="both"/>
      </w:pPr>
      <w:r>
        <w:rPr>
          <w:sz w:val="20"/>
        </w:rPr>
        <w:t xml:space="preserve">открытие сети торговых представительств Тульской области за рубежом.</w:t>
      </w:r>
    </w:p>
    <w:p>
      <w:pPr>
        <w:pStyle w:val="0"/>
        <w:spacing w:before="200" w:lineRule="auto"/>
        <w:ind w:firstLine="540"/>
        <w:jc w:val="both"/>
      </w:pPr>
      <w:r>
        <w:rPr>
          <w:sz w:val="20"/>
        </w:rPr>
        <w:t xml:space="preserve">Последнее мероприятие позволит ускорить выход компаний (в том числе малого и среднего предпринимательства) на дружественные рынки и нарастить несырьевой и неэнергетический экспорт. Среди приоритетных локаций выделяются следующие страны: Беларусь, Китай, Узбекистан.</w:t>
      </w:r>
    </w:p>
    <w:p>
      <w:pPr>
        <w:pStyle w:val="0"/>
        <w:spacing w:before="200" w:lineRule="auto"/>
        <w:ind w:firstLine="540"/>
        <w:jc w:val="both"/>
      </w:pPr>
      <w:r>
        <w:rPr>
          <w:sz w:val="20"/>
        </w:rPr>
        <w:t xml:space="preserve">Еще одним инструментом создания благоприятных условий для внешнеэкономической деятельности является Центр поддержки экспорта Тульского регионального фонда "Центр поддержки предпринимательства" (далее - ЦПЭ), созданный 9 февраля 2017 года.</w:t>
      </w:r>
    </w:p>
    <w:p>
      <w:pPr>
        <w:pStyle w:val="0"/>
        <w:spacing w:before="200" w:lineRule="auto"/>
        <w:ind w:firstLine="540"/>
        <w:jc w:val="both"/>
      </w:pPr>
      <w:r>
        <w:rPr>
          <w:sz w:val="20"/>
        </w:rPr>
        <w:t xml:space="preserve">ЦПЭ является "единым окном" для оказания нефинансовой поддержки экспортно-ориентированным субъектам малого и среднего предпринимательства, а также крупным компаниям Тульской области.</w:t>
      </w:r>
    </w:p>
    <w:p>
      <w:pPr>
        <w:pStyle w:val="0"/>
        <w:spacing w:before="200" w:lineRule="auto"/>
        <w:ind w:firstLine="540"/>
        <w:jc w:val="both"/>
      </w:pPr>
      <w:r>
        <w:rPr>
          <w:sz w:val="20"/>
        </w:rPr>
        <w:t xml:space="preserve">ЦПЭ обеспечивает:</w:t>
      </w:r>
    </w:p>
    <w:p>
      <w:pPr>
        <w:pStyle w:val="0"/>
        <w:spacing w:before="200" w:lineRule="auto"/>
        <w:ind w:firstLine="540"/>
        <w:jc w:val="both"/>
      </w:pPr>
      <w:r>
        <w:rPr>
          <w:sz w:val="20"/>
        </w:rPr>
        <w:t xml:space="preserve">участие в определении приоритетных направлений поддержки экспортной деятельности субъектов малого и среднего предпринимательства Тульской области на уровне Тульской области, в том числе в разработке и реализации мероприятий региональной программы поддержки экспорта;</w:t>
      </w:r>
    </w:p>
    <w:p>
      <w:pPr>
        <w:pStyle w:val="0"/>
        <w:spacing w:before="200" w:lineRule="auto"/>
        <w:ind w:firstLine="540"/>
        <w:jc w:val="both"/>
      </w:pPr>
      <w:r>
        <w:rPr>
          <w:sz w:val="20"/>
        </w:rPr>
        <w:t xml:space="preserve">популяризацию экспортной деятельности среди субъектов малого и среднего предпринимательства Тульской области, в том числе в сети "Интернет", включая создание и ведение персональных страниц Центра в социальных сетях, создание в сети "Интернет" групп для взаимодействия субъектов малого и среднего предпринимательства по вопросам осуществления экспортной деятельности, а также путем организации форумов, конференций, круглых столов и других конгрессных мероприятий по вопросам экспортной деятельности, оказания информационного содействия деятельности очных площадок, созданных в Тульской области для взаимодействия субъектов малого и среднего предпринимательства, в целях обмена опытом по вопросам ведения экспортной деятельности;</w:t>
      </w:r>
    </w:p>
    <w:p>
      <w:pPr>
        <w:pStyle w:val="0"/>
        <w:spacing w:before="200" w:lineRule="auto"/>
        <w:ind w:firstLine="540"/>
        <w:jc w:val="both"/>
      </w:pPr>
      <w:r>
        <w:rPr>
          <w:sz w:val="20"/>
        </w:rPr>
        <w:t xml:space="preserve">участие в мероприятиях по внедрению Регионального экспортного стандарта;</w:t>
      </w:r>
    </w:p>
    <w:p>
      <w:pPr>
        <w:pStyle w:val="0"/>
        <w:spacing w:before="200" w:lineRule="auto"/>
        <w:ind w:firstLine="540"/>
        <w:jc w:val="both"/>
      </w:pPr>
      <w:r>
        <w:rPr>
          <w:sz w:val="20"/>
        </w:rPr>
        <w:t xml:space="preserve">информирование и консультирование субъектов малого и среднего предпринимательства Тульской области о существующих услугах и мерах поддержки развития экспортной деятельности, в том числе совместно со специализированными институтами развития и образовательными организациями, а также содействие в получении услуг и мер поддержки развития экспортной деятельности, реализуемых в Российской Федерации специализированными институтами развития, банками и другими организациями;</w:t>
      </w:r>
    </w:p>
    <w:p>
      <w:pPr>
        <w:pStyle w:val="0"/>
        <w:spacing w:before="200" w:lineRule="auto"/>
        <w:ind w:firstLine="540"/>
        <w:jc w:val="both"/>
      </w:pPr>
      <w:r>
        <w:rPr>
          <w:sz w:val="20"/>
        </w:rPr>
        <w:t xml:space="preserve">организацию и проведение регионального конкурса "Экспортер года" в Тульской области;</w:t>
      </w:r>
    </w:p>
    <w:p>
      <w:pPr>
        <w:pStyle w:val="0"/>
        <w:spacing w:before="200" w:lineRule="auto"/>
        <w:ind w:firstLine="540"/>
        <w:jc w:val="both"/>
      </w:pPr>
      <w:r>
        <w:rPr>
          <w:sz w:val="20"/>
        </w:rPr>
        <w:t xml:space="preserve">внесение информации о потенциальных иностранных покупателях из числа зарубежных хозяйствующих субъектов, с которыми осуществлялось взаимодействие в рамках реализации услуг, в единую базу потенциальных иностранных покупателей из числа зарубежных хозяйствующих субъектов, формируемую РЭЦ;</w:t>
      </w:r>
    </w:p>
    <w:p>
      <w:pPr>
        <w:pStyle w:val="0"/>
        <w:spacing w:before="200" w:lineRule="auto"/>
        <w:ind w:firstLine="540"/>
        <w:jc w:val="both"/>
      </w:pPr>
      <w:r>
        <w:rPr>
          <w:sz w:val="20"/>
        </w:rPr>
        <w:t xml:space="preserve">формирование, ведение и внесение информации о специализированных организациях и квалифицированных специалистах, зарегистрированных на территории Российской Федерации и в иностранных государствах, которых ЦПЭ привлекает в целях предоставления субъектам малого и среднего предпринимательства Тульской области услуг в единую базу специализированных организаций и квалифицированных специалистов, формируемую РЭЦ.</w:t>
      </w:r>
    </w:p>
    <w:p>
      <w:pPr>
        <w:pStyle w:val="0"/>
        <w:spacing w:before="200" w:lineRule="auto"/>
        <w:ind w:firstLine="540"/>
        <w:jc w:val="both"/>
      </w:pPr>
      <w:r>
        <w:rPr>
          <w:sz w:val="20"/>
        </w:rPr>
        <w:t xml:space="preserve">В случае отсутствия возможности предоставления услуг экспортерам собственными силами организации системы поддержки экспорта организуют и координируют взаимодействие с федеральными органами.</w:t>
      </w:r>
    </w:p>
    <w:p>
      <w:pPr>
        <w:pStyle w:val="0"/>
        <w:spacing w:before="200" w:lineRule="auto"/>
        <w:ind w:firstLine="540"/>
        <w:jc w:val="both"/>
      </w:pPr>
      <w:r>
        <w:rPr>
          <w:sz w:val="20"/>
        </w:rPr>
        <w:t xml:space="preserve">По вопросам финансирования и страхования экспортных контрактов привлекаются Акционерное общество "Российский экспортно-импортный банк" и Акционерное общество "Российское агентство по страхованию экспортных кредитов и инвестиций".</w:t>
      </w:r>
    </w:p>
    <w:p>
      <w:pPr>
        <w:pStyle w:val="0"/>
        <w:spacing w:before="200" w:lineRule="auto"/>
        <w:ind w:firstLine="540"/>
        <w:jc w:val="both"/>
      </w:pPr>
      <w:r>
        <w:rPr>
          <w:sz w:val="20"/>
        </w:rPr>
        <w:t xml:space="preserve">По вопросам поиска и установления контактов с потенциальными покупателями на зарубежных рынках привлекаются торговые представительства Российской Федерации в соответствующих странах.</w:t>
      </w:r>
    </w:p>
    <w:p>
      <w:pPr>
        <w:pStyle w:val="0"/>
        <w:spacing w:before="200" w:lineRule="auto"/>
        <w:ind w:firstLine="540"/>
        <w:jc w:val="both"/>
      </w:pPr>
      <w:r>
        <w:rPr>
          <w:sz w:val="20"/>
        </w:rPr>
        <w:t xml:space="preserve">Реализация вышеуказанных инструментов позволяет внедрить в Тульской области Региональный экспортный стандарт, который содержит унифицированные подходы по созданию благоприятных условий для экспорта с учетом региональной специфики, что в свою очередь позволяет комплексно развивать систему поддержки экспорта в Тульской области.</w:t>
      </w:r>
    </w:p>
    <w:p>
      <w:pPr>
        <w:pStyle w:val="0"/>
      </w:pPr>
      <w:r>
        <w:rPr>
          <w:sz w:val="20"/>
        </w:rPr>
      </w:r>
    </w:p>
    <w:p>
      <w:pPr>
        <w:pStyle w:val="2"/>
        <w:outlineLvl w:val="1"/>
        <w:jc w:val="center"/>
      </w:pPr>
      <w:r>
        <w:rPr>
          <w:sz w:val="20"/>
        </w:rPr>
        <w:t xml:space="preserve">13. Пространственное развитие Тульской области</w:t>
      </w:r>
    </w:p>
    <w:p>
      <w:pPr>
        <w:pStyle w:val="0"/>
      </w:pPr>
      <w:r>
        <w:rPr>
          <w:sz w:val="20"/>
        </w:rPr>
      </w:r>
    </w:p>
    <w:p>
      <w:pPr>
        <w:pStyle w:val="2"/>
        <w:outlineLvl w:val="2"/>
        <w:jc w:val="center"/>
      </w:pPr>
      <w:r>
        <w:rPr>
          <w:sz w:val="20"/>
        </w:rPr>
        <w:t xml:space="preserve">13.1. Приоритеты, цели, задачи и направления</w:t>
      </w:r>
    </w:p>
    <w:p>
      <w:pPr>
        <w:pStyle w:val="2"/>
        <w:jc w:val="center"/>
      </w:pPr>
      <w:r>
        <w:rPr>
          <w:sz w:val="20"/>
        </w:rPr>
        <w:t xml:space="preserve">пространственного развития Тульской области</w:t>
      </w:r>
    </w:p>
    <w:p>
      <w:pPr>
        <w:pStyle w:val="2"/>
        <w:jc w:val="center"/>
      </w:pPr>
      <w:r>
        <w:rPr>
          <w:sz w:val="20"/>
        </w:rPr>
        <w:t xml:space="preserve">на долгосрочный период</w:t>
      </w:r>
    </w:p>
    <w:p>
      <w:pPr>
        <w:pStyle w:val="0"/>
      </w:pPr>
      <w:r>
        <w:rPr>
          <w:sz w:val="20"/>
        </w:rPr>
      </w:r>
    </w:p>
    <w:p>
      <w:pPr>
        <w:pStyle w:val="0"/>
        <w:ind w:firstLine="540"/>
        <w:jc w:val="both"/>
      </w:pPr>
      <w:r>
        <w:rPr>
          <w:sz w:val="20"/>
        </w:rPr>
        <w:t xml:space="preserve">Особенности политики пространственного развития Тульской области по отношению к различным группам муниципальных образований заключаются в следующем:</w:t>
      </w:r>
    </w:p>
    <w:p>
      <w:pPr>
        <w:pStyle w:val="0"/>
        <w:spacing w:before="200" w:lineRule="auto"/>
        <w:ind w:firstLine="540"/>
        <w:jc w:val="both"/>
      </w:pPr>
      <w:r>
        <w:rPr>
          <w:sz w:val="20"/>
        </w:rPr>
        <w:t xml:space="preserve">создание и развитие особых экономических зон (далее - ОЭЗ) и территорий опережающего развития (далее - ТОР):</w:t>
      </w:r>
    </w:p>
    <w:p>
      <w:pPr>
        <w:pStyle w:val="0"/>
        <w:spacing w:before="200" w:lineRule="auto"/>
        <w:ind w:firstLine="540"/>
        <w:jc w:val="both"/>
      </w:pPr>
      <w:r>
        <w:rPr>
          <w:sz w:val="20"/>
        </w:rPr>
        <w:t xml:space="preserve">ОЭЗ "Узловая" - специализированный территориальный кластер, созданный с целью стимулирования экономического развития, привлечения инвестиций и формирования условий для инновационного бизнеса, расположенный вблизи транспортных узлов и обладающий мощным потенциалом для развития логистики, промышленности и экспортного производства.</w:t>
      </w:r>
    </w:p>
    <w:p>
      <w:pPr>
        <w:pStyle w:val="0"/>
        <w:spacing w:before="200" w:lineRule="auto"/>
        <w:ind w:firstLine="540"/>
        <w:jc w:val="both"/>
      </w:pPr>
      <w:r>
        <w:rPr>
          <w:sz w:val="20"/>
        </w:rPr>
        <w:t xml:space="preserve">ТОР "Ефремов", ТОР "Алексин" - специальные административно-территориальные единицы, созданные с целью стимулирования экономического роста, привлечения инвестиций и модернизации промышленного и социального потенциала городов Ефремов и Алексин Тульской области. Создание ТОР предполагает создание благоприятных условий для развития новых производств, повышения уровня занятости и формирования современного делового климата в первую очередь за счет предоставления значительных налоговых льгот;</w:t>
      </w:r>
    </w:p>
    <w:p>
      <w:pPr>
        <w:pStyle w:val="0"/>
        <w:spacing w:before="200" w:lineRule="auto"/>
        <w:ind w:firstLine="540"/>
        <w:jc w:val="both"/>
      </w:pPr>
      <w:r>
        <w:rPr>
          <w:sz w:val="20"/>
        </w:rPr>
        <w:t xml:space="preserve">развитие опорных населенных пунктов (далее - ОПН): приоритетное развитие городов, вошедших в Единый перечень опорных населенных пунктов Российской Федерации, утвержденный протоколом президиума Правительственной комиссии по региональному развитию в Российской Федерации 16 декабря 2024 года N 143пр.</w:t>
      </w:r>
    </w:p>
    <w:p>
      <w:pPr>
        <w:pStyle w:val="0"/>
        <w:spacing w:before="200" w:lineRule="auto"/>
        <w:ind w:firstLine="540"/>
        <w:jc w:val="both"/>
      </w:pPr>
      <w:r>
        <w:rPr>
          <w:sz w:val="20"/>
        </w:rPr>
        <w:t xml:space="preserve">В этой связи политика пространственного развития Тульской области требует учета экономико-географических и социальных особенностей территории каждого муниципального образования.</w:t>
      </w:r>
    </w:p>
    <w:p>
      <w:pPr>
        <w:pStyle w:val="0"/>
        <w:spacing w:before="200" w:lineRule="auto"/>
        <w:ind w:firstLine="540"/>
        <w:jc w:val="both"/>
      </w:pPr>
      <w:r>
        <w:rPr>
          <w:sz w:val="20"/>
        </w:rPr>
        <w:t xml:space="preserve">Стратегическая цель пространственного развития Тульской области - формирование устойчивой и сбалансированной системы территориальной организации Тульской области, обеспечивающей высокое качество жизни населения, при оптимальном использовании существующих ресурсов, с учетом потенциальных социально-экономических точек роста.</w:t>
      </w:r>
    </w:p>
    <w:p>
      <w:pPr>
        <w:pStyle w:val="0"/>
        <w:spacing w:before="200" w:lineRule="auto"/>
        <w:ind w:firstLine="540"/>
        <w:jc w:val="both"/>
      </w:pPr>
      <w:r>
        <w:rPr>
          <w:sz w:val="20"/>
        </w:rPr>
        <w:t xml:space="preserve">Достигнуть поставленную стратегическую цель предполагается за счет решения следующих основных задач:</w:t>
      </w:r>
    </w:p>
    <w:p>
      <w:pPr>
        <w:pStyle w:val="0"/>
        <w:spacing w:before="200" w:lineRule="auto"/>
        <w:ind w:firstLine="540"/>
        <w:jc w:val="both"/>
      </w:pPr>
      <w:r>
        <w:rPr>
          <w:sz w:val="20"/>
        </w:rPr>
        <w:t xml:space="preserve">выравнивание уровня развития территорий области за счет дифференцированного подхода к развитию муниципальных образований и населенных пунктов, предусматривающего устранение ограничений для экономического роста территорий с относительно высоким уровнем социально-экономического развития и поддержку территорий с относительно низким уровнем социально-экономического развития;</w:t>
      </w:r>
    </w:p>
    <w:p>
      <w:pPr>
        <w:pStyle w:val="0"/>
        <w:spacing w:before="200" w:lineRule="auto"/>
        <w:ind w:firstLine="540"/>
        <w:jc w:val="both"/>
      </w:pPr>
      <w:r>
        <w:rPr>
          <w:sz w:val="20"/>
        </w:rPr>
        <w:t xml:space="preserve">регулирование внутренних миграционных потоков с целью противодействия опустыниванию территорий;</w:t>
      </w:r>
    </w:p>
    <w:p>
      <w:pPr>
        <w:pStyle w:val="0"/>
        <w:spacing w:before="200" w:lineRule="auto"/>
        <w:ind w:firstLine="540"/>
        <w:jc w:val="both"/>
      </w:pPr>
      <w:r>
        <w:rPr>
          <w:sz w:val="20"/>
        </w:rPr>
        <w:t xml:space="preserve">актуализация и выявление новых конкурентных преимуществ развития муниципальных образований Тульской области;</w:t>
      </w:r>
    </w:p>
    <w:p>
      <w:pPr>
        <w:pStyle w:val="0"/>
        <w:spacing w:before="200" w:lineRule="auto"/>
        <w:ind w:firstLine="540"/>
        <w:jc w:val="both"/>
      </w:pPr>
      <w:r>
        <w:rPr>
          <w:sz w:val="20"/>
        </w:rPr>
        <w:t xml:space="preserve">развитие сельских агломераций Тульской области;</w:t>
      </w:r>
    </w:p>
    <w:p>
      <w:pPr>
        <w:pStyle w:val="0"/>
        <w:spacing w:before="200" w:lineRule="auto"/>
        <w:ind w:firstLine="540"/>
        <w:jc w:val="both"/>
      </w:pPr>
      <w:r>
        <w:rPr>
          <w:sz w:val="20"/>
        </w:rPr>
        <w:t xml:space="preserve">создание и модернизация объектов инфраструктуры муниципальных образований с учетом оценки предполагаемых социально-экономических эффектов;</w:t>
      </w:r>
    </w:p>
    <w:p>
      <w:pPr>
        <w:pStyle w:val="0"/>
        <w:spacing w:before="200" w:lineRule="auto"/>
        <w:ind w:firstLine="540"/>
        <w:jc w:val="both"/>
      </w:pPr>
      <w:r>
        <w:rPr>
          <w:sz w:val="20"/>
        </w:rPr>
        <w:t xml:space="preserve">модернизация системы административно-территориального и муниципального устройства, способствующая эффективному использованию бюджетных средств при улучшении доступности государственных и муниципальных услуг для всех жителей;</w:t>
      </w:r>
    </w:p>
    <w:p>
      <w:pPr>
        <w:pStyle w:val="0"/>
        <w:spacing w:before="200" w:lineRule="auto"/>
        <w:ind w:firstLine="540"/>
        <w:jc w:val="both"/>
      </w:pPr>
      <w:r>
        <w:rPr>
          <w:sz w:val="20"/>
        </w:rPr>
        <w:t xml:space="preserve">повышение уровня самостоятельности муниципальных образований Тульской области в решении задач социально-экономического развития за счет роста собственных доходов и сбалансированной политики в сфере межбюджетных отношений;</w:t>
      </w:r>
    </w:p>
    <w:p>
      <w:pPr>
        <w:pStyle w:val="0"/>
        <w:spacing w:before="200" w:lineRule="auto"/>
        <w:ind w:firstLine="540"/>
        <w:jc w:val="both"/>
      </w:pPr>
      <w:r>
        <w:rPr>
          <w:sz w:val="20"/>
        </w:rPr>
        <w:t xml:space="preserve">обеспечение приоритетного развития социальной, энергетической, коммунальной, транспортной и информационно-телекоммуникационной инфраструктур, объектов связи и инженерной защиты опорных населенных пунктов, направленного на повышение качества среды для жизни в опорных населенных пунктах и обеспечение их защищенности;</w:t>
      </w:r>
    </w:p>
    <w:p>
      <w:pPr>
        <w:pStyle w:val="0"/>
        <w:spacing w:before="200" w:lineRule="auto"/>
        <w:ind w:firstLine="540"/>
        <w:jc w:val="both"/>
      </w:pPr>
      <w:r>
        <w:rPr>
          <w:sz w:val="20"/>
        </w:rPr>
        <w:t xml:space="preserve">развитие туристского потенциала муниципальных образований, включая малые города и исторические поселения;</w:t>
      </w:r>
    </w:p>
    <w:p>
      <w:pPr>
        <w:pStyle w:val="0"/>
        <w:spacing w:before="200" w:lineRule="auto"/>
        <w:ind w:firstLine="540"/>
        <w:jc w:val="both"/>
      </w:pPr>
      <w:r>
        <w:rPr>
          <w:sz w:val="20"/>
        </w:rPr>
        <w:t xml:space="preserve">создание эффективной системы по работе с муниципальными рисками;</w:t>
      </w:r>
    </w:p>
    <w:p>
      <w:pPr>
        <w:pStyle w:val="0"/>
        <w:spacing w:before="200" w:lineRule="auto"/>
        <w:ind w:firstLine="540"/>
        <w:jc w:val="both"/>
      </w:pPr>
      <w:r>
        <w:rPr>
          <w:sz w:val="20"/>
        </w:rPr>
        <w:t xml:space="preserve">создание условий для развития кадрового привлекательности муниципальных образований Тульской области в условиях дефицита квалифицированных кадров;</w:t>
      </w:r>
    </w:p>
    <w:p>
      <w:pPr>
        <w:pStyle w:val="0"/>
        <w:spacing w:before="200" w:lineRule="auto"/>
        <w:ind w:firstLine="540"/>
        <w:jc w:val="both"/>
      </w:pPr>
      <w:r>
        <w:rPr>
          <w:sz w:val="20"/>
        </w:rPr>
        <w:t xml:space="preserve">обеспечение условий для гармоничного развития институтов гражданского общества;</w:t>
      </w:r>
    </w:p>
    <w:p>
      <w:pPr>
        <w:pStyle w:val="0"/>
        <w:spacing w:before="200" w:lineRule="auto"/>
        <w:ind w:firstLine="540"/>
        <w:jc w:val="both"/>
      </w:pPr>
      <w:r>
        <w:rPr>
          <w:sz w:val="20"/>
        </w:rPr>
        <w:t xml:space="preserve">создание на всей территории Тульской области благоприятных условий для воспитания гармонично развитой, патриотичной и социально ответственной личности на основе традиционных российских духовно-нравственных и культурно-исторических ценностей;</w:t>
      </w:r>
    </w:p>
    <w:p>
      <w:pPr>
        <w:pStyle w:val="0"/>
        <w:spacing w:before="200" w:lineRule="auto"/>
        <w:ind w:firstLine="540"/>
        <w:jc w:val="both"/>
      </w:pPr>
      <w:r>
        <w:rPr>
          <w:sz w:val="20"/>
        </w:rPr>
        <w:t xml:space="preserve">создание условий, обеспечивающих достойную жизнь и активную деятельность участников СВО и членов их семей, независимо от места проживания;</w:t>
      </w:r>
    </w:p>
    <w:p>
      <w:pPr>
        <w:pStyle w:val="0"/>
        <w:spacing w:before="200" w:lineRule="auto"/>
        <w:ind w:firstLine="540"/>
        <w:jc w:val="both"/>
      </w:pPr>
      <w:r>
        <w:rPr>
          <w:sz w:val="20"/>
        </w:rPr>
        <w:t xml:space="preserve">усиление межмуниципального сотрудничества, реализация совместных межмуниципальных программ и проектов.</w:t>
      </w:r>
    </w:p>
    <w:p>
      <w:pPr>
        <w:pStyle w:val="0"/>
        <w:spacing w:before="200" w:lineRule="auto"/>
        <w:ind w:firstLine="540"/>
        <w:jc w:val="both"/>
      </w:pPr>
      <w:r>
        <w:rPr>
          <w:sz w:val="20"/>
        </w:rPr>
        <w:t xml:space="preserve">Выполнение указанных задач будет осуществляться в рамках следующих приоритетных направлений пространственного развития Тульской области:</w:t>
      </w:r>
    </w:p>
    <w:p>
      <w:pPr>
        <w:pStyle w:val="0"/>
        <w:spacing w:before="200" w:lineRule="auto"/>
        <w:ind w:firstLine="540"/>
        <w:jc w:val="both"/>
      </w:pPr>
      <w:r>
        <w:rPr>
          <w:sz w:val="20"/>
        </w:rPr>
        <w:t xml:space="preserve">ускоренное развитие ОНП с целью создания устойчивого пространственного каркаса для территории Тульской области;</w:t>
      </w:r>
    </w:p>
    <w:p>
      <w:pPr>
        <w:pStyle w:val="0"/>
        <w:spacing w:before="200" w:lineRule="auto"/>
        <w:ind w:firstLine="540"/>
        <w:jc w:val="both"/>
      </w:pPr>
      <w:r>
        <w:rPr>
          <w:sz w:val="20"/>
        </w:rPr>
        <w:t xml:space="preserve">сбалансированное развитие Тульско-Новомосковской агломерации;</w:t>
      </w:r>
    </w:p>
    <w:p>
      <w:pPr>
        <w:pStyle w:val="0"/>
        <w:spacing w:before="200" w:lineRule="auto"/>
        <w:ind w:firstLine="540"/>
        <w:jc w:val="both"/>
      </w:pPr>
      <w:r>
        <w:rPr>
          <w:sz w:val="20"/>
        </w:rPr>
        <w:t xml:space="preserve">повышение привлекательности территорий опережающего развития для инвесторов;</w:t>
      </w:r>
    </w:p>
    <w:p>
      <w:pPr>
        <w:pStyle w:val="0"/>
        <w:spacing w:before="200" w:lineRule="auto"/>
        <w:ind w:firstLine="540"/>
        <w:jc w:val="both"/>
      </w:pPr>
      <w:r>
        <w:rPr>
          <w:sz w:val="20"/>
        </w:rPr>
        <w:t xml:space="preserve">формирование зон приграничного межрегионального сотрудничества (на севере - преимущественно рекреационной специализации, на юге - преимущественно сельскохозяйственной, на западе - преимущественно индустриальной с целью расширения кооперационных связей с наиболее развитыми районами Калужской области).</w:t>
      </w:r>
    </w:p>
    <w:p>
      <w:pPr>
        <w:pStyle w:val="0"/>
        <w:spacing w:before="200" w:lineRule="auto"/>
        <w:ind w:firstLine="540"/>
        <w:jc w:val="both"/>
      </w:pPr>
      <w:r>
        <w:rPr>
          <w:sz w:val="20"/>
        </w:rPr>
        <w:t xml:space="preserve">На улучшение ситуации в социальной сфере муниципальных образований Тульской области будут нацелены следующие программы и проекты:</w:t>
      </w:r>
    </w:p>
    <w:p>
      <w:pPr>
        <w:pStyle w:val="0"/>
        <w:spacing w:before="200" w:lineRule="auto"/>
        <w:ind w:firstLine="540"/>
        <w:jc w:val="both"/>
      </w:pPr>
      <w:r>
        <w:rPr>
          <w:sz w:val="20"/>
        </w:rPr>
        <w:t xml:space="preserve">региональный проект "Развитие инфраструктуры в населенных пунктах (Тульская область)" в рамках национального проекта "Инфраструктура для жизни";</w:t>
      </w:r>
    </w:p>
    <w:p>
      <w:pPr>
        <w:pStyle w:val="0"/>
        <w:spacing w:before="200" w:lineRule="auto"/>
        <w:ind w:firstLine="540"/>
        <w:jc w:val="both"/>
      </w:pPr>
      <w:r>
        <w:rPr>
          <w:sz w:val="20"/>
        </w:rPr>
        <w:t xml:space="preserve">проект "Народный бюджет";</w:t>
      </w:r>
    </w:p>
    <w:p>
      <w:pPr>
        <w:pStyle w:val="0"/>
        <w:spacing w:before="200" w:lineRule="auto"/>
        <w:ind w:firstLine="540"/>
        <w:jc w:val="both"/>
      </w:pPr>
      <w:r>
        <w:rPr>
          <w:sz w:val="20"/>
        </w:rPr>
        <w:t xml:space="preserve">региональная </w:t>
      </w:r>
      <w:hyperlink w:history="0" r:id="rId37" w:tooltip="Постановление Правительства Тульской области от 01.04.2025 N 197 (ред. от 17.03.2026) &quot;Об утверждении региональной программы Тульской области &quot;Наш район&quot; {КонсультантПлюс}">
        <w:r>
          <w:rPr>
            <w:sz w:val="20"/>
            <w:color w:val="0000ff"/>
          </w:rPr>
          <w:t xml:space="preserve">программа</w:t>
        </w:r>
      </w:hyperlink>
      <w:r>
        <w:rPr>
          <w:sz w:val="20"/>
        </w:rPr>
        <w:t xml:space="preserve"> "Наш район".</w:t>
      </w:r>
    </w:p>
    <w:p>
      <w:pPr>
        <w:pStyle w:val="0"/>
        <w:spacing w:before="200" w:lineRule="auto"/>
        <w:ind w:firstLine="540"/>
        <w:jc w:val="both"/>
      </w:pPr>
      <w:r>
        <w:rPr>
          <w:sz w:val="20"/>
        </w:rPr>
        <w:t xml:space="preserve">Среди наиболее крупных инвестиционных проектов, планируемых к реализации на территории муниципальных образований региона, можно выделить следующие:</w:t>
      </w:r>
    </w:p>
    <w:p>
      <w:pPr>
        <w:pStyle w:val="0"/>
        <w:spacing w:before="200" w:lineRule="auto"/>
        <w:ind w:firstLine="540"/>
        <w:jc w:val="both"/>
      </w:pPr>
      <w:r>
        <w:rPr>
          <w:sz w:val="20"/>
        </w:rPr>
        <w:t xml:space="preserve">проекты в главных отраслях специализации промышленного производства региона:</w:t>
      </w:r>
    </w:p>
    <w:p>
      <w:pPr>
        <w:pStyle w:val="0"/>
        <w:spacing w:before="200" w:lineRule="auto"/>
        <w:ind w:firstLine="540"/>
        <w:jc w:val="both"/>
      </w:pPr>
      <w:r>
        <w:rPr>
          <w:sz w:val="20"/>
        </w:rPr>
        <w:t xml:space="preserve">в металлургии - строительство производства легирующих добавок для выплавки сверхпрочной стали (Узловский муниципальный район);</w:t>
      </w:r>
    </w:p>
    <w:p>
      <w:pPr>
        <w:pStyle w:val="0"/>
        <w:spacing w:before="200" w:lineRule="auto"/>
        <w:ind w:firstLine="540"/>
        <w:jc w:val="both"/>
      </w:pPr>
      <w:r>
        <w:rPr>
          <w:sz w:val="20"/>
        </w:rPr>
        <w:t xml:space="preserve">в машиностроении - строительство завода по производству автомобильных компонентов и трансмиссий (Узловский муниципальный район); создание в Тульской области предприятия в станкостроительной отрасли;</w:t>
      </w:r>
    </w:p>
    <w:p>
      <w:pPr>
        <w:pStyle w:val="0"/>
        <w:spacing w:before="200" w:lineRule="auto"/>
        <w:ind w:firstLine="540"/>
        <w:jc w:val="both"/>
      </w:pPr>
      <w:r>
        <w:rPr>
          <w:sz w:val="20"/>
        </w:rPr>
        <w:t xml:space="preserve">в химической промышленности - строительство цеха синтеза технического триксиленилфосфата (ТКФ) на заводе по производству огнестойкого турбинного масла; строительство завода по производству универсального заменителя крови и строительство второй очереди производства пресс-форм для литья пластмасс и комплектующих из полимерных материалов (городской округ город Алексин); строительство производства высокомолекулярных полимеров (городской округ город Новомосковск);</w:t>
      </w:r>
    </w:p>
    <w:p>
      <w:pPr>
        <w:pStyle w:val="0"/>
        <w:spacing w:before="200" w:lineRule="auto"/>
        <w:ind w:firstLine="540"/>
        <w:jc w:val="both"/>
      </w:pPr>
      <w:r>
        <w:rPr>
          <w:sz w:val="20"/>
        </w:rPr>
        <w:t xml:space="preserve">проекты в строительстве (жилищном и торгово-административном (городской округ город Тула));</w:t>
      </w:r>
    </w:p>
    <w:p>
      <w:pPr>
        <w:pStyle w:val="0"/>
        <w:spacing w:before="200" w:lineRule="auto"/>
        <w:ind w:firstLine="540"/>
        <w:jc w:val="both"/>
      </w:pPr>
      <w:r>
        <w:rPr>
          <w:sz w:val="20"/>
        </w:rPr>
        <w:t xml:space="preserve">проекты в агропромышленном комплексе:</w:t>
      </w:r>
    </w:p>
    <w:p>
      <w:pPr>
        <w:pStyle w:val="0"/>
        <w:spacing w:before="200" w:lineRule="auto"/>
        <w:ind w:firstLine="540"/>
        <w:jc w:val="both"/>
      </w:pPr>
      <w:r>
        <w:rPr>
          <w:sz w:val="20"/>
        </w:rPr>
        <w:t xml:space="preserve">выращивание овощей, цветов, плодово-ягодных растений (Киреевский муниципальный район);</w:t>
      </w:r>
    </w:p>
    <w:p>
      <w:pPr>
        <w:pStyle w:val="0"/>
        <w:spacing w:before="200" w:lineRule="auto"/>
        <w:ind w:firstLine="540"/>
        <w:jc w:val="both"/>
      </w:pPr>
      <w:r>
        <w:rPr>
          <w:sz w:val="20"/>
        </w:rPr>
        <w:t xml:space="preserve">создание животноводческих комплексов (Кимовский муниципальный район, Ефремовский муниципальный округ, городской округ город Новомосковск, Веневский муниципальный округ);</w:t>
      </w:r>
    </w:p>
    <w:p>
      <w:pPr>
        <w:pStyle w:val="0"/>
        <w:spacing w:before="200" w:lineRule="auto"/>
        <w:ind w:firstLine="540"/>
        <w:jc w:val="both"/>
      </w:pPr>
      <w:r>
        <w:rPr>
          <w:sz w:val="20"/>
        </w:rPr>
        <w:t xml:space="preserve">создание перерабатывающего кластера сельскохозяйственной продукции (Ефремовский муниципальный округ);</w:t>
      </w:r>
    </w:p>
    <w:p>
      <w:pPr>
        <w:pStyle w:val="0"/>
        <w:spacing w:before="200" w:lineRule="auto"/>
        <w:ind w:firstLine="540"/>
        <w:jc w:val="both"/>
      </w:pPr>
      <w:r>
        <w:rPr>
          <w:sz w:val="20"/>
        </w:rPr>
        <w:t xml:space="preserve">проекты в области туризма и рекреации (строительство рекреационного комплекса (Заокский муниципальный район), международного туристского центра (Веневский муниципальный округ), круглогодичный экокурорт "Берег Дона" (Куркинский муниципальный округ), строительство гостиничных комплексов (городской округ город Тула, городской округ город Новомосковск, Ясногорский муниципальный район).</w:t>
      </w:r>
    </w:p>
    <w:p>
      <w:pPr>
        <w:pStyle w:val="0"/>
        <w:spacing w:before="200" w:lineRule="auto"/>
        <w:ind w:firstLine="540"/>
        <w:jc w:val="both"/>
      </w:pPr>
      <w:r>
        <w:rPr>
          <w:sz w:val="20"/>
        </w:rPr>
        <w:t xml:space="preserve">Мероприятия, направленные на развитие муниципальных образований Тульской области:</w:t>
      </w:r>
    </w:p>
    <w:p>
      <w:pPr>
        <w:pStyle w:val="0"/>
        <w:spacing w:before="200" w:lineRule="auto"/>
        <w:ind w:firstLine="540"/>
        <w:jc w:val="both"/>
      </w:pPr>
      <w:r>
        <w:rPr>
          <w:sz w:val="20"/>
        </w:rPr>
        <w:t xml:space="preserve">актуализация информации об инфраструктурных возможностях муниципальных образований и определение ключевых проектов, необходимых для расширения инвестиционного потенциала;</w:t>
      </w:r>
    </w:p>
    <w:p>
      <w:pPr>
        <w:pStyle w:val="0"/>
        <w:spacing w:before="200" w:lineRule="auto"/>
        <w:ind w:firstLine="540"/>
        <w:jc w:val="both"/>
      </w:pPr>
      <w:r>
        <w:rPr>
          <w:sz w:val="20"/>
        </w:rPr>
        <w:t xml:space="preserve">обеспечение комплексного подхода к решению планировочных, транспортных, энергетических и экологических проблем в населенных пунктах;</w:t>
      </w:r>
    </w:p>
    <w:p>
      <w:pPr>
        <w:pStyle w:val="0"/>
        <w:spacing w:before="200" w:lineRule="auto"/>
        <w:ind w:firstLine="540"/>
        <w:jc w:val="both"/>
      </w:pPr>
      <w:r>
        <w:rPr>
          <w:sz w:val="20"/>
        </w:rPr>
        <w:t xml:space="preserve">повышение эффективности взаимодействия органов местного самоуправления и жителей;</w:t>
      </w:r>
    </w:p>
    <w:p>
      <w:pPr>
        <w:pStyle w:val="0"/>
        <w:spacing w:before="200" w:lineRule="auto"/>
        <w:ind w:firstLine="540"/>
        <w:jc w:val="both"/>
      </w:pPr>
      <w:r>
        <w:rPr>
          <w:sz w:val="20"/>
        </w:rPr>
        <w:t xml:space="preserve">повышение эффективности и результативности предоставления межбюджетных трансфертов из бюджета области бюджетам муниципальных образований;</w:t>
      </w:r>
    </w:p>
    <w:p>
      <w:pPr>
        <w:pStyle w:val="0"/>
        <w:spacing w:before="200" w:lineRule="auto"/>
        <w:ind w:firstLine="540"/>
        <w:jc w:val="both"/>
      </w:pPr>
      <w:r>
        <w:rPr>
          <w:sz w:val="20"/>
        </w:rPr>
        <w:t xml:space="preserve">снижение к 2036 году не более чем до 1,8 раза разрыва в уровнях бюджетной обеспеченности между 5 наиболее обеспеченными и 5 наименее обеспеченными муниципальными образованиями Тульской области (с учетом оказания финансовой поддержки из областного бюджета в форме целевых межбюджетных трансфертов).</w:t>
      </w:r>
    </w:p>
    <w:p>
      <w:pPr>
        <w:pStyle w:val="0"/>
      </w:pPr>
      <w:r>
        <w:rPr>
          <w:sz w:val="20"/>
        </w:rPr>
      </w:r>
    </w:p>
    <w:p>
      <w:pPr>
        <w:pStyle w:val="2"/>
        <w:outlineLvl w:val="2"/>
        <w:jc w:val="center"/>
      </w:pPr>
      <w:r>
        <w:rPr>
          <w:sz w:val="20"/>
        </w:rPr>
        <w:t xml:space="preserve">13.2. Развитие территорий, для которых установлены особые</w:t>
      </w:r>
    </w:p>
    <w:p>
      <w:pPr>
        <w:pStyle w:val="2"/>
        <w:jc w:val="center"/>
      </w:pPr>
      <w:r>
        <w:rPr>
          <w:sz w:val="20"/>
        </w:rPr>
        <w:t xml:space="preserve">условия ведения экономической деятельности и в отношении</w:t>
      </w:r>
    </w:p>
    <w:p>
      <w:pPr>
        <w:pStyle w:val="2"/>
        <w:jc w:val="center"/>
      </w:pPr>
      <w:r>
        <w:rPr>
          <w:sz w:val="20"/>
        </w:rPr>
        <w:t xml:space="preserve">которых применяются специальные меры поддержки развития</w:t>
      </w:r>
    </w:p>
    <w:p>
      <w:pPr>
        <w:pStyle w:val="0"/>
      </w:pPr>
      <w:r>
        <w:rPr>
          <w:sz w:val="20"/>
        </w:rPr>
      </w:r>
    </w:p>
    <w:p>
      <w:pPr>
        <w:pStyle w:val="0"/>
        <w:ind w:firstLine="540"/>
        <w:jc w:val="both"/>
      </w:pPr>
      <w:r>
        <w:rPr>
          <w:sz w:val="20"/>
        </w:rPr>
        <w:t xml:space="preserve">Ключевой инструмент пространственной политики Тульской области - создание и развитие ОЭЗ и ТОР.</w:t>
      </w:r>
    </w:p>
    <w:p>
      <w:pPr>
        <w:pStyle w:val="0"/>
        <w:spacing w:before="200" w:lineRule="auto"/>
        <w:ind w:firstLine="540"/>
        <w:jc w:val="both"/>
      </w:pPr>
      <w:r>
        <w:rPr>
          <w:sz w:val="20"/>
        </w:rPr>
        <w:t xml:space="preserve">В регионе созданы ОЭЗ "Узловая" - территория с особым правовым режимом, в которой создают благоприятные условия для развития бизнеса, и ТОР "Ефремов" и "Алексин", созданные в одноименных моногородах с целью стимулирования экономического роста, привлечения инвестиций и модернизации их промышленного и социального потенциала.</w:t>
      </w:r>
    </w:p>
    <w:p>
      <w:pPr>
        <w:pStyle w:val="0"/>
        <w:spacing w:before="200" w:lineRule="auto"/>
        <w:ind w:firstLine="540"/>
        <w:jc w:val="both"/>
      </w:pPr>
      <w:r>
        <w:rPr>
          <w:sz w:val="20"/>
        </w:rPr>
        <w:t xml:space="preserve">В Тульской области действует комплексная система налоговых льгот для поддержки проектов, реализуемых на территории ОЭЗ и ТОР, а также широкий пакет мер поддержки для предпринимателей и инвесторов. Существует возможность финансирования или возмещения затрат на строительство объектов инфраструктуры за счет региона. Также компаниям предоставляются земельные участки в аренду без торгов.</w:t>
      </w:r>
    </w:p>
    <w:p>
      <w:pPr>
        <w:pStyle w:val="0"/>
        <w:spacing w:before="200" w:lineRule="auto"/>
        <w:ind w:firstLine="540"/>
        <w:jc w:val="both"/>
      </w:pPr>
      <w:r>
        <w:rPr>
          <w:sz w:val="20"/>
        </w:rPr>
        <w:t xml:space="preserve">Региональные институты оказывают целый спектр услуг для действующих и потенциальных инвесторов. Правительством Тульской области на сегодня организовано тесное взаимодействие с ключевыми ресурсоснабжающими организациями и профильными федеральными ведомствами. Используются все возможные механизмы привлечения федерального финансирования.</w:t>
      </w:r>
    </w:p>
    <w:p>
      <w:pPr>
        <w:pStyle w:val="0"/>
        <w:spacing w:before="200" w:lineRule="auto"/>
        <w:ind w:firstLine="540"/>
        <w:jc w:val="both"/>
      </w:pPr>
      <w:r>
        <w:rPr>
          <w:sz w:val="20"/>
        </w:rPr>
        <w:t xml:space="preserve">Стратегические цель - повышение привлекательности территорий для новых отраслей, снижение зависимости от ограниченного числа секторов; создание рабочих мест в передовых секторах, повышение доли инновационных компаний; создание устойчивой базы рабочих мест, повышение уровня жизни работников; модернизация социальной и инженерной инфраструктуры для улучшения качества жизни и работы; внедрение цифровых инструментов для более эффективного управления и мониторинга развития.</w:t>
      </w:r>
    </w:p>
    <w:p>
      <w:pPr>
        <w:pStyle w:val="0"/>
        <w:spacing w:before="200" w:lineRule="auto"/>
        <w:ind w:firstLine="540"/>
        <w:jc w:val="both"/>
      </w:pPr>
      <w:r>
        <w:rPr>
          <w:sz w:val="20"/>
        </w:rPr>
        <w:t xml:space="preserve">Задачи:</w:t>
      </w:r>
    </w:p>
    <w:p>
      <w:pPr>
        <w:pStyle w:val="0"/>
        <w:spacing w:before="200" w:lineRule="auto"/>
        <w:ind w:firstLine="540"/>
        <w:jc w:val="both"/>
      </w:pPr>
      <w:r>
        <w:rPr>
          <w:sz w:val="20"/>
        </w:rPr>
        <w:t xml:space="preserve">создание условий для привлечения инвесторов в новые отрасли экономики, такие как высокие технологии, экологические и инновационные производства;</w:t>
      </w:r>
    </w:p>
    <w:p>
      <w:pPr>
        <w:pStyle w:val="0"/>
        <w:spacing w:before="200" w:lineRule="auto"/>
        <w:ind w:firstLine="540"/>
        <w:jc w:val="both"/>
      </w:pPr>
      <w:r>
        <w:rPr>
          <w:sz w:val="20"/>
        </w:rPr>
        <w:t xml:space="preserve">содействие в создании и развитии малых и средних предприятий через субсидии, гранты, налоговые каникулы и другие меры поддержки;</w:t>
      </w:r>
    </w:p>
    <w:p>
      <w:pPr>
        <w:pStyle w:val="0"/>
        <w:spacing w:before="200" w:lineRule="auto"/>
        <w:ind w:firstLine="540"/>
        <w:jc w:val="both"/>
      </w:pPr>
      <w:r>
        <w:rPr>
          <w:sz w:val="20"/>
        </w:rPr>
        <w:t xml:space="preserve">модернизация инфраструктуры для создания комфортных условий для инвесторов и работников;</w:t>
      </w:r>
    </w:p>
    <w:p>
      <w:pPr>
        <w:pStyle w:val="0"/>
        <w:spacing w:before="200" w:lineRule="auto"/>
        <w:ind w:firstLine="540"/>
        <w:jc w:val="both"/>
      </w:pPr>
      <w:r>
        <w:rPr>
          <w:sz w:val="20"/>
        </w:rPr>
        <w:t xml:space="preserve">строительство жилья для работников, создание новых образовательных и медицинских учреждений;</w:t>
      </w:r>
    </w:p>
    <w:p>
      <w:pPr>
        <w:pStyle w:val="0"/>
        <w:spacing w:before="200" w:lineRule="auto"/>
        <w:ind w:firstLine="540"/>
        <w:jc w:val="both"/>
      </w:pPr>
      <w:r>
        <w:rPr>
          <w:sz w:val="20"/>
        </w:rPr>
        <w:t xml:space="preserve">взаимодействие с образовательными организациями высшего и профессиональными учебными заведениями для подготовки специалистов в высокотехнологичных сферах;</w:t>
      </w:r>
    </w:p>
    <w:p>
      <w:pPr>
        <w:pStyle w:val="0"/>
        <w:spacing w:before="200" w:lineRule="auto"/>
        <w:ind w:firstLine="540"/>
        <w:jc w:val="both"/>
      </w:pPr>
      <w:r>
        <w:rPr>
          <w:sz w:val="20"/>
        </w:rPr>
        <w:t xml:space="preserve">создание и развитие технологий для снижения потребления энергии и улучшения экологии;</w:t>
      </w:r>
    </w:p>
    <w:p>
      <w:pPr>
        <w:pStyle w:val="0"/>
        <w:spacing w:before="200" w:lineRule="auto"/>
        <w:ind w:firstLine="540"/>
        <w:jc w:val="both"/>
      </w:pPr>
      <w:r>
        <w:rPr>
          <w:sz w:val="20"/>
        </w:rPr>
        <w:t xml:space="preserve">создание инновационных кластеров с участием университетов, научных и исследовательских центров.</w:t>
      </w:r>
    </w:p>
    <w:p>
      <w:pPr>
        <w:pStyle w:val="0"/>
      </w:pPr>
      <w:r>
        <w:rPr>
          <w:sz w:val="20"/>
        </w:rPr>
      </w:r>
    </w:p>
    <w:p>
      <w:pPr>
        <w:pStyle w:val="2"/>
        <w:outlineLvl w:val="1"/>
        <w:jc w:val="center"/>
      </w:pPr>
      <w:r>
        <w:rPr>
          <w:sz w:val="20"/>
        </w:rPr>
        <w:t xml:space="preserve">14. Обеспечение комфортной и безопасной среды для жизни</w:t>
      </w:r>
    </w:p>
    <w:p>
      <w:pPr>
        <w:pStyle w:val="0"/>
      </w:pPr>
      <w:r>
        <w:rPr>
          <w:sz w:val="20"/>
        </w:rPr>
      </w:r>
    </w:p>
    <w:p>
      <w:pPr>
        <w:pStyle w:val="2"/>
        <w:outlineLvl w:val="2"/>
        <w:jc w:val="center"/>
      </w:pPr>
      <w:r>
        <w:rPr>
          <w:sz w:val="20"/>
        </w:rPr>
        <w:t xml:space="preserve">14.1. Развитие опорных населенных пунктов Тульской области</w:t>
      </w:r>
    </w:p>
    <w:p>
      <w:pPr>
        <w:pStyle w:val="0"/>
      </w:pPr>
      <w:r>
        <w:rPr>
          <w:sz w:val="20"/>
        </w:rPr>
      </w:r>
    </w:p>
    <w:p>
      <w:pPr>
        <w:pStyle w:val="0"/>
        <w:ind w:firstLine="540"/>
        <w:jc w:val="both"/>
      </w:pPr>
      <w:r>
        <w:rPr>
          <w:sz w:val="20"/>
        </w:rPr>
        <w:t xml:space="preserve">В 2023 - 2025 годы сформирован единый перечень из 2160 ОНП, составленный Министерством экономического развития Российской Федерации и Министерством строительства и жилищно-коммунального хозяйства Российской Федерации.</w:t>
      </w:r>
    </w:p>
    <w:p>
      <w:pPr>
        <w:pStyle w:val="0"/>
        <w:spacing w:before="200" w:lineRule="auto"/>
        <w:ind w:firstLine="540"/>
        <w:jc w:val="both"/>
      </w:pPr>
      <w:r>
        <w:rPr>
          <w:sz w:val="20"/>
        </w:rPr>
        <w:t xml:space="preserve">В указанный перечень вошли 8 ключевых центров Тульской области (города Тула, Киреевск, Щекино, Алексин, Ефремов, Узловая, Донской и Новомосковск).</w:t>
      </w:r>
    </w:p>
    <w:p>
      <w:pPr>
        <w:pStyle w:val="0"/>
        <w:spacing w:before="200" w:lineRule="auto"/>
        <w:ind w:firstLine="540"/>
        <w:jc w:val="both"/>
      </w:pPr>
      <w:r>
        <w:rPr>
          <w:sz w:val="20"/>
        </w:rPr>
        <w:t xml:space="preserve">В период до 2036 года за счет развития ОНП в регионе будет формироваться опорный каркас расселения, предполагается увеличение масштаба спроса на услуги в ОНП, усиление межмуниципальных связей и формирование полицентричной агломерационной модели с ядром в Туле и развитием сетевого взаимодействия индустриальных и сервисных узлов.</w:t>
      </w:r>
    </w:p>
    <w:p>
      <w:pPr>
        <w:pStyle w:val="0"/>
        <w:spacing w:before="200" w:lineRule="auto"/>
        <w:ind w:firstLine="540"/>
        <w:jc w:val="both"/>
      </w:pPr>
      <w:r>
        <w:rPr>
          <w:sz w:val="20"/>
        </w:rPr>
        <w:t xml:space="preserve">Стратегическая цель развития ОНП - улучшение качества среды для жизни в ОНП.</w:t>
      </w:r>
    </w:p>
    <w:p>
      <w:pPr>
        <w:pStyle w:val="0"/>
        <w:spacing w:before="200" w:lineRule="auto"/>
        <w:ind w:firstLine="540"/>
        <w:jc w:val="both"/>
      </w:pPr>
      <w:r>
        <w:rPr>
          <w:sz w:val="20"/>
        </w:rPr>
        <w:t xml:space="preserve">Достижению поставленной цели будет способствовать ряд задач:</w:t>
      </w:r>
    </w:p>
    <w:p>
      <w:pPr>
        <w:pStyle w:val="0"/>
        <w:spacing w:before="200" w:lineRule="auto"/>
        <w:ind w:firstLine="540"/>
        <w:jc w:val="both"/>
      </w:pPr>
      <w:r>
        <w:rPr>
          <w:sz w:val="20"/>
        </w:rPr>
        <w:t xml:space="preserve">укрепление ОНП как центров экономического, социального и культурного развития с улучшением доступности и качества услуг;</w:t>
      </w:r>
    </w:p>
    <w:p>
      <w:pPr>
        <w:pStyle w:val="0"/>
        <w:spacing w:before="200" w:lineRule="auto"/>
        <w:ind w:firstLine="540"/>
        <w:jc w:val="both"/>
      </w:pPr>
      <w:r>
        <w:rPr>
          <w:sz w:val="20"/>
        </w:rPr>
        <w:t xml:space="preserve">обеспечение опережающего развития инфраструктуры в ОПН;</w:t>
      </w:r>
    </w:p>
    <w:p>
      <w:pPr>
        <w:pStyle w:val="0"/>
        <w:spacing w:before="200" w:lineRule="auto"/>
        <w:ind w:firstLine="540"/>
        <w:jc w:val="both"/>
      </w:pPr>
      <w:r>
        <w:rPr>
          <w:sz w:val="20"/>
        </w:rPr>
        <w:t xml:space="preserve">повышение уровня благоустройства и обеспечения коммунальной инфраструктурой ОНП;</w:t>
      </w:r>
    </w:p>
    <w:p>
      <w:pPr>
        <w:pStyle w:val="0"/>
        <w:spacing w:before="200" w:lineRule="auto"/>
        <w:ind w:firstLine="540"/>
        <w:jc w:val="both"/>
      </w:pPr>
      <w:r>
        <w:rPr>
          <w:sz w:val="20"/>
        </w:rPr>
        <w:t xml:space="preserve">повышение инвестиционной привлекательности ОНП.</w:t>
      </w:r>
    </w:p>
    <w:p>
      <w:pPr>
        <w:pStyle w:val="0"/>
        <w:spacing w:before="200" w:lineRule="auto"/>
        <w:ind w:firstLine="540"/>
        <w:jc w:val="both"/>
      </w:pPr>
      <w:r>
        <w:rPr>
          <w:sz w:val="20"/>
        </w:rPr>
        <w:t xml:space="preserve">Комплекс мероприятий по развитию ОНП сгруппирован по пяти блокам:</w:t>
      </w:r>
    </w:p>
    <w:p>
      <w:pPr>
        <w:pStyle w:val="0"/>
        <w:spacing w:before="200" w:lineRule="auto"/>
        <w:ind w:firstLine="540"/>
        <w:jc w:val="both"/>
      </w:pPr>
      <w:r>
        <w:rPr>
          <w:sz w:val="20"/>
        </w:rPr>
        <w:t xml:space="preserve">синхронизация схемы межмуниципальных маршрутов, капитальный ремонт и строительство дорог к ОНП и внутри них, развитие пересадочных узлов и новых форм транспортной мобильности (включая обновление парка транспортных средств и внедрение единого тарифа/единого билета в агломерациях), что должно обеспечить нормативную транспортную доступность рабочих мест и услуг для жителей прилегающих территорий; Соответствующие мероприятия закладываются в комплексные планы социально-экономического развития (далее - КПСР) ОНП;</w:t>
      </w:r>
    </w:p>
    <w:p>
      <w:pPr>
        <w:pStyle w:val="0"/>
        <w:spacing w:before="200" w:lineRule="auto"/>
        <w:ind w:firstLine="540"/>
        <w:jc w:val="both"/>
      </w:pPr>
      <w:r>
        <w:rPr>
          <w:sz w:val="20"/>
        </w:rPr>
        <w:t xml:space="preserve">ускоренное техническое перевооружение систем водоснабжения и водоотведения, снижение аварийности тепловых сетей, реконструкция канализации и очистных сооружений, развитие резервных источников мощности и внедрение интеллектуального учета ресурсов. Планируется подготовка "дорожных карт" по снижению износа сетей до целевого уровня и переход к долгосрочным тарифным решениям в рамках концессионной или проектной модели;</w:t>
      </w:r>
    </w:p>
    <w:p>
      <w:pPr>
        <w:pStyle w:val="0"/>
        <w:spacing w:before="200" w:lineRule="auto"/>
        <w:ind w:firstLine="540"/>
        <w:jc w:val="both"/>
      </w:pPr>
      <w:r>
        <w:rPr>
          <w:sz w:val="20"/>
        </w:rPr>
        <w:t xml:space="preserve">запуск проектов комплексного развития территорий (далее - КРТ) по расселению аварийного жилищного фонда, благоустройству общественных пространств - площадей, набережных, главных улиц, формирование кварталов смешанной застройки с социальными объектами "шаговой доступности";</w:t>
      </w:r>
    </w:p>
    <w:p>
      <w:pPr>
        <w:pStyle w:val="0"/>
        <w:spacing w:before="200" w:lineRule="auto"/>
        <w:ind w:firstLine="540"/>
        <w:jc w:val="both"/>
      </w:pPr>
      <w:r>
        <w:rPr>
          <w:sz w:val="20"/>
        </w:rPr>
        <w:t xml:space="preserve">концентрация базовых социальных услуг для прилегающих территорий: поликлиник и фельдшерско-акушерских пунктов, школ и детсадов, МФЦ, учреждений культуры и спорта, а также центров занятости и "точек" непрерывного образования. Логика "центр - периферия" предполагает укрупнение сервисов в ОНП и оптимизацию маршрутов доступа к ним;</w:t>
      </w:r>
    </w:p>
    <w:p>
      <w:pPr>
        <w:pStyle w:val="0"/>
        <w:spacing w:before="200" w:lineRule="auto"/>
        <w:ind w:firstLine="540"/>
        <w:jc w:val="both"/>
      </w:pPr>
      <w:r>
        <w:rPr>
          <w:sz w:val="20"/>
        </w:rPr>
        <w:t xml:space="preserve">усиление инвестиционной специализации: поддержка новых производств в индустриальных узлах (в том числе вокруг действующих промышленных площадок и логистических коридоров), формирование сервисных кластеров (ремонтное и транспортно-складское хозяйство, агросервис, переработка), расширение сетей креативной экономики (туризм выходного дня, ремесла, событийные форматы). В этих случаях КПСР ОНП будет предусматривать ускоренное подключение к инженерным мощностям и инфраструктурным объектам.</w:t>
      </w:r>
    </w:p>
    <w:p>
      <w:pPr>
        <w:pStyle w:val="0"/>
        <w:spacing w:before="200" w:lineRule="auto"/>
        <w:ind w:firstLine="540"/>
        <w:jc w:val="both"/>
      </w:pPr>
      <w:r>
        <w:rPr>
          <w:sz w:val="20"/>
        </w:rPr>
        <w:t xml:space="preserve">Конкретные приоритеты развития будут определяться специализацией ОНП. Для Тулы как ядра агломерации приоритетом будет повышение пропускной способности улично-дорожной сети, развитие общественного транспорта, создание межмуниципальных транспортно-пересадочных узлов, реновация коммунальной инфраструктуры и развитие социальных кластеров областного уровня. Для индустриальных центров (Новомосковск, Донской, Узловая, Щекино, Киреевск) - технологическое обновление сетей и улучшение логистической доступности промышленных зон. Для центров услуг и туризма (Алексин, Ефремов) - благоустройство исторических центров и набережных, расширение событийной повестки, поддержка малого бизнеса в туризме и сфере услуг.</w:t>
      </w:r>
    </w:p>
    <w:p>
      <w:pPr>
        <w:pStyle w:val="0"/>
        <w:spacing w:before="200" w:lineRule="auto"/>
        <w:ind w:firstLine="540"/>
        <w:jc w:val="both"/>
      </w:pPr>
      <w:r>
        <w:rPr>
          <w:sz w:val="20"/>
        </w:rPr>
        <w:t xml:space="preserve">В совокупности перечисленные меры по развитию ОНП должны обеспечить рост качества жизни населения, закрепить агломерационные эффекты и повысить устойчивость расселения на территории Тульской области.</w:t>
      </w:r>
    </w:p>
    <w:p>
      <w:pPr>
        <w:pStyle w:val="0"/>
      </w:pPr>
      <w:r>
        <w:rPr>
          <w:sz w:val="20"/>
        </w:rPr>
      </w:r>
    </w:p>
    <w:p>
      <w:pPr>
        <w:pStyle w:val="2"/>
        <w:outlineLvl w:val="2"/>
        <w:jc w:val="center"/>
      </w:pPr>
      <w:r>
        <w:rPr>
          <w:sz w:val="20"/>
        </w:rPr>
        <w:t xml:space="preserve">14.2. Развитие моногородов Тульской области</w:t>
      </w:r>
    </w:p>
    <w:p>
      <w:pPr>
        <w:pStyle w:val="0"/>
      </w:pPr>
      <w:r>
        <w:rPr>
          <w:sz w:val="20"/>
        </w:rPr>
      </w:r>
    </w:p>
    <w:p>
      <w:pPr>
        <w:pStyle w:val="0"/>
        <w:ind w:firstLine="540"/>
        <w:jc w:val="both"/>
      </w:pPr>
      <w:r>
        <w:rPr>
          <w:sz w:val="20"/>
        </w:rPr>
        <w:t xml:space="preserve">На территории Тульской области расположены 5 монопрофильных муниципальных образований (городской округ город Алексин, Ефремовский муниципальный округ, город Кимовск, город Белев, рабочий поселок Первомайский Щекинского района). В двух из них в целях формирования благоприятных условий для привлечения инвестиций, ускоренного социально-экономического развития и создания комфортных условий для местных жителей созданы ТОР - "Ефремов" и "Алексин". Для инвесторов ТОР "Ефремов" и "Алексин" предусмотрены льготы по налогу на прибыль и имущество, земельному налогу, взносам во внебюджетные фонды. Большинство резидентов ТОР "Ефремов" реализуют свои проекты в сфере агропромышленного комплекса, на ТОР "Алексин" развивается отрасль машиностроения и логистики.</w:t>
      </w:r>
    </w:p>
    <w:p>
      <w:pPr>
        <w:pStyle w:val="0"/>
        <w:spacing w:before="200" w:lineRule="auto"/>
        <w:ind w:firstLine="540"/>
        <w:jc w:val="both"/>
      </w:pPr>
      <w:r>
        <w:rPr>
          <w:sz w:val="20"/>
        </w:rPr>
        <w:t xml:space="preserve">Стратегическая цель развития монопрофильных городов - снизить зависимость моногородов от градообразующих предприятий, диверсифицировать экономику, повысить качество жизни населения и сделать территории более привлекательными для инвестиций и проживания.</w:t>
      </w:r>
    </w:p>
    <w:p>
      <w:pPr>
        <w:pStyle w:val="0"/>
        <w:spacing w:before="200" w:lineRule="auto"/>
        <w:ind w:firstLine="540"/>
        <w:jc w:val="both"/>
      </w:pPr>
      <w:r>
        <w:rPr>
          <w:sz w:val="20"/>
        </w:rPr>
        <w:t xml:space="preserve">Для достижения поставленной цели планируется решить ряд задач:</w:t>
      </w:r>
    </w:p>
    <w:p>
      <w:pPr>
        <w:pStyle w:val="0"/>
        <w:spacing w:before="200" w:lineRule="auto"/>
        <w:ind w:firstLine="540"/>
        <w:jc w:val="both"/>
      </w:pPr>
      <w:r>
        <w:rPr>
          <w:sz w:val="20"/>
        </w:rPr>
        <w:t xml:space="preserve">привлечение инвесторов, создание рабочих мест вне градообразующих предприятий;</w:t>
      </w:r>
    </w:p>
    <w:p>
      <w:pPr>
        <w:pStyle w:val="0"/>
        <w:spacing w:before="200" w:lineRule="auto"/>
        <w:ind w:firstLine="540"/>
        <w:jc w:val="both"/>
      </w:pPr>
      <w:r>
        <w:rPr>
          <w:sz w:val="20"/>
        </w:rPr>
        <w:t xml:space="preserve">развитие инфраструктуры (транспорт, жилищно-коммунальное хозяйство, социальная сфера);</w:t>
      </w:r>
    </w:p>
    <w:p>
      <w:pPr>
        <w:pStyle w:val="0"/>
        <w:spacing w:before="200" w:lineRule="auto"/>
        <w:ind w:firstLine="540"/>
        <w:jc w:val="both"/>
      </w:pPr>
      <w:r>
        <w:rPr>
          <w:sz w:val="20"/>
        </w:rPr>
        <w:t xml:space="preserve">модернизация существующих предприятий и поддержка новых производств;</w:t>
      </w:r>
    </w:p>
    <w:p>
      <w:pPr>
        <w:pStyle w:val="0"/>
        <w:spacing w:before="200" w:lineRule="auto"/>
        <w:ind w:firstLine="540"/>
        <w:jc w:val="both"/>
      </w:pPr>
      <w:r>
        <w:rPr>
          <w:sz w:val="20"/>
        </w:rPr>
        <w:t xml:space="preserve">подготовка квалифицированных кадров и содействие в трудоустройстве;</w:t>
      </w:r>
    </w:p>
    <w:p>
      <w:pPr>
        <w:pStyle w:val="0"/>
        <w:spacing w:before="200" w:lineRule="auto"/>
        <w:ind w:firstLine="540"/>
        <w:jc w:val="both"/>
      </w:pPr>
      <w:r>
        <w:rPr>
          <w:sz w:val="20"/>
        </w:rPr>
        <w:t xml:space="preserve">улучшение городской среды и повышение комфорта для жизни.</w:t>
      </w:r>
    </w:p>
    <w:p>
      <w:pPr>
        <w:pStyle w:val="0"/>
        <w:spacing w:before="200" w:lineRule="auto"/>
        <w:ind w:firstLine="540"/>
        <w:jc w:val="both"/>
      </w:pPr>
      <w:r>
        <w:rPr>
          <w:sz w:val="20"/>
        </w:rPr>
        <w:t xml:space="preserve">Планируется реализация следующих мероприятий:</w:t>
      </w:r>
    </w:p>
    <w:p>
      <w:pPr>
        <w:pStyle w:val="0"/>
        <w:spacing w:before="200" w:lineRule="auto"/>
        <w:ind w:firstLine="540"/>
        <w:jc w:val="both"/>
      </w:pPr>
      <w:r>
        <w:rPr>
          <w:sz w:val="20"/>
        </w:rPr>
        <w:t xml:space="preserve">развитие ТОР;</w:t>
      </w:r>
    </w:p>
    <w:p>
      <w:pPr>
        <w:pStyle w:val="0"/>
        <w:spacing w:before="200" w:lineRule="auto"/>
        <w:ind w:firstLine="540"/>
        <w:jc w:val="both"/>
      </w:pPr>
      <w:r>
        <w:rPr>
          <w:sz w:val="20"/>
        </w:rPr>
        <w:t xml:space="preserve">участие в федеральных и региональных программах;</w:t>
      </w:r>
    </w:p>
    <w:p>
      <w:pPr>
        <w:pStyle w:val="0"/>
        <w:spacing w:before="200" w:lineRule="auto"/>
        <w:ind w:firstLine="540"/>
        <w:jc w:val="both"/>
      </w:pPr>
      <w:r>
        <w:rPr>
          <w:sz w:val="20"/>
        </w:rPr>
        <w:t xml:space="preserve">формирование мер поддержки;</w:t>
      </w:r>
    </w:p>
    <w:p>
      <w:pPr>
        <w:pStyle w:val="0"/>
        <w:spacing w:before="200" w:lineRule="auto"/>
        <w:ind w:firstLine="540"/>
        <w:jc w:val="both"/>
      </w:pPr>
      <w:r>
        <w:rPr>
          <w:sz w:val="20"/>
        </w:rPr>
        <w:t xml:space="preserve">обеспечение содействия инвесторам в реализации инвестиционных проектов.</w:t>
      </w:r>
    </w:p>
    <w:p>
      <w:pPr>
        <w:pStyle w:val="0"/>
        <w:spacing w:before="200" w:lineRule="auto"/>
        <w:ind w:firstLine="540"/>
        <w:jc w:val="both"/>
      </w:pPr>
      <w:r>
        <w:rPr>
          <w:sz w:val="20"/>
        </w:rPr>
        <w:t xml:space="preserve">Ожидаемые результаты:</w:t>
      </w:r>
    </w:p>
    <w:p>
      <w:pPr>
        <w:pStyle w:val="0"/>
        <w:spacing w:before="200" w:lineRule="auto"/>
        <w:ind w:firstLine="540"/>
        <w:jc w:val="both"/>
      </w:pPr>
      <w:r>
        <w:rPr>
          <w:sz w:val="20"/>
        </w:rPr>
        <w:t xml:space="preserve">создание новых рабочих мест, не связанных с деятельностью градообразующих предприятий;</w:t>
      </w:r>
    </w:p>
    <w:p>
      <w:pPr>
        <w:pStyle w:val="0"/>
        <w:spacing w:before="200" w:lineRule="auto"/>
        <w:ind w:firstLine="540"/>
        <w:jc w:val="both"/>
      </w:pPr>
      <w:r>
        <w:rPr>
          <w:sz w:val="20"/>
        </w:rPr>
        <w:t xml:space="preserve">привлечение инвестиций в экономику моногородов;</w:t>
      </w:r>
    </w:p>
    <w:p>
      <w:pPr>
        <w:pStyle w:val="0"/>
        <w:spacing w:before="200" w:lineRule="auto"/>
        <w:ind w:firstLine="540"/>
        <w:jc w:val="both"/>
      </w:pPr>
      <w:r>
        <w:rPr>
          <w:sz w:val="20"/>
        </w:rPr>
        <w:t xml:space="preserve">улучшение качества жизни населения за счет развития инфраструктуры и социальной сферы;</w:t>
      </w:r>
    </w:p>
    <w:p>
      <w:pPr>
        <w:pStyle w:val="0"/>
        <w:spacing w:before="200" w:lineRule="auto"/>
        <w:ind w:firstLine="540"/>
        <w:jc w:val="both"/>
      </w:pPr>
      <w:r>
        <w:rPr>
          <w:sz w:val="20"/>
        </w:rPr>
        <w:t xml:space="preserve">диверсификация экономики и снижение зависимости от одного предприятия.</w:t>
      </w:r>
    </w:p>
    <w:p>
      <w:pPr>
        <w:pStyle w:val="0"/>
      </w:pPr>
      <w:r>
        <w:rPr>
          <w:sz w:val="20"/>
        </w:rPr>
      </w:r>
    </w:p>
    <w:p>
      <w:pPr>
        <w:pStyle w:val="2"/>
        <w:outlineLvl w:val="2"/>
        <w:jc w:val="center"/>
      </w:pPr>
      <w:r>
        <w:rPr>
          <w:sz w:val="20"/>
        </w:rPr>
        <w:t xml:space="preserve">14.3. Обеспечение жителей Тульской области</w:t>
      </w:r>
    </w:p>
    <w:p>
      <w:pPr>
        <w:pStyle w:val="2"/>
        <w:jc w:val="center"/>
      </w:pPr>
      <w:r>
        <w:rPr>
          <w:sz w:val="20"/>
        </w:rPr>
        <w:t xml:space="preserve">доступным и качественным жильем</w:t>
      </w:r>
    </w:p>
    <w:p>
      <w:pPr>
        <w:pStyle w:val="0"/>
      </w:pPr>
      <w:r>
        <w:rPr>
          <w:sz w:val="20"/>
        </w:rPr>
      </w:r>
    </w:p>
    <w:p>
      <w:pPr>
        <w:pStyle w:val="0"/>
        <w:ind w:firstLine="540"/>
        <w:jc w:val="both"/>
      </w:pPr>
      <w:r>
        <w:rPr>
          <w:sz w:val="20"/>
        </w:rPr>
        <w:t xml:space="preserve">Правительством Тульской области утверждены государственная </w:t>
      </w:r>
      <w:hyperlink w:history="0" r:id="rId38" w:tooltip="Постановление правительства Тульской области от 29.12.2018 N 598 (ред. от 05.06.2026) &quot;Об утверждении государственной программы Тульской области &quot;Обеспечение доступным и комфортным жильем населения Тульской области&quot; (вместе с &quot;Составом управляющего совета государственной программы Тульской области &quot;Обеспечение доступным и комфортным жильем населения Тульской области&quot; по должностям&quot;) {КонсультантПлюс}">
        <w:r>
          <w:rPr>
            <w:sz w:val="20"/>
            <w:color w:val="0000ff"/>
          </w:rPr>
          <w:t xml:space="preserve">программа</w:t>
        </w:r>
      </w:hyperlink>
      <w:r>
        <w:rPr>
          <w:sz w:val="20"/>
        </w:rPr>
        <w:t xml:space="preserve"> Тульской области "Обеспечение доступным и комфортным жильем населения Тульской области" и региональная </w:t>
      </w:r>
      <w:hyperlink w:history="0" r:id="rId39" w:tooltip="Постановление Правительства Тульской области от 16.09.2022 N 599 (ред. от 12.05.2026) &quot;Об утверждении региональной программы Тульской области &quot;Строительство объектов капитального строительства&quot; (вместе с &quot;Правилами формирования региональной программы Тульской области &quot;Строительство объектов капитального строительства&quot;) {КонсультантПлюс}">
        <w:r>
          <w:rPr>
            <w:sz w:val="20"/>
            <w:color w:val="0000ff"/>
          </w:rPr>
          <w:t xml:space="preserve">программа</w:t>
        </w:r>
      </w:hyperlink>
      <w:r>
        <w:rPr>
          <w:sz w:val="20"/>
        </w:rPr>
        <w:t xml:space="preserve"> Тульской области "Строительство объектов капитального строительства на 2022 - 2026 годы", а также Стратегия развития строительной отрасли и жилищно-коммунального хозяйства Тульской области на период до 2030 года с прогнозом до 2035 года.</w:t>
      </w:r>
    </w:p>
    <w:p>
      <w:pPr>
        <w:pStyle w:val="0"/>
        <w:spacing w:before="200" w:lineRule="auto"/>
        <w:ind w:firstLine="540"/>
        <w:jc w:val="both"/>
      </w:pPr>
      <w:r>
        <w:rPr>
          <w:sz w:val="20"/>
        </w:rPr>
        <w:t xml:space="preserve">В последние годы в Тульской области темпы жилищного строительства росли. Так, в 2023 году объемы достигли рекордных за последние 60 лет значений - 1104,7 тыс. кв. м жилья. Из них многоквартирные дома составили 462,3 тыс. кв. м, а индивидуальное жилищное строительство - 642,4 тыс. кв. м.</w:t>
      </w:r>
    </w:p>
    <w:p>
      <w:pPr>
        <w:pStyle w:val="0"/>
        <w:spacing w:before="200" w:lineRule="auto"/>
        <w:ind w:firstLine="540"/>
        <w:jc w:val="both"/>
      </w:pPr>
      <w:r>
        <w:rPr>
          <w:sz w:val="20"/>
        </w:rPr>
        <w:t xml:space="preserve">В 2024 году показатель по объему введенного жилья составил 917 тыс. кв. м, из них многоквартирные дома - 318,6 тыс. кв. м, индивидуальное жилищное строительство - 598,4 тыс. кв. м. Объем ввода жилой и нежилой недвижимости составил 1428,8 тыс. кв. м, из них жилые здания - 1065,3 тыс. кв. м, нежилые здания - 363,5 тыс. кв. м.</w:t>
      </w:r>
    </w:p>
    <w:p>
      <w:pPr>
        <w:pStyle w:val="0"/>
        <w:spacing w:before="200" w:lineRule="auto"/>
        <w:ind w:firstLine="540"/>
        <w:jc w:val="both"/>
      </w:pPr>
      <w:r>
        <w:rPr>
          <w:sz w:val="20"/>
        </w:rPr>
        <w:t xml:space="preserve">В 2025 году введено порядка 1 млн. кв. м. жилья, из них в многоквартирных домах - 356,0 тыс. кв. м, а в индивидуальных - 650,0 тыс. кв. м. Следует признать, что в последние годы объемы ввода индивидуального строительства стали превышать объемы ввода многоквартирного жилья, что вызвано сдвигом спроса населения в сторону индивидуального и малоэтажного жилья ("дачная амнистия", меры по легализации построенных индивидуальных домов и др.).</w:t>
      </w:r>
    </w:p>
    <w:p>
      <w:pPr>
        <w:pStyle w:val="0"/>
        <w:spacing w:before="200" w:lineRule="auto"/>
        <w:ind w:firstLine="540"/>
        <w:jc w:val="both"/>
      </w:pPr>
      <w:r>
        <w:rPr>
          <w:sz w:val="20"/>
        </w:rPr>
        <w:t xml:space="preserve">Общая площадь жилищного фонда в Тульской области, по данным Росстата, на конец 2024 года составила 47970,6 тыс. кв. м. Исходя из численности населения области на одного жителя области приходится около 33 кв. м. жилья.</w:t>
      </w:r>
    </w:p>
    <w:p>
      <w:pPr>
        <w:pStyle w:val="0"/>
        <w:spacing w:before="200" w:lineRule="auto"/>
        <w:ind w:firstLine="540"/>
        <w:jc w:val="both"/>
      </w:pPr>
      <w:r>
        <w:rPr>
          <w:sz w:val="20"/>
        </w:rPr>
        <w:t xml:space="preserve">Число семей, улучшивших жилищные условия, в период с 2021 года по 2024 год достигло 183 тысяч., из них в 2024 году - 72 тысяч.</w:t>
      </w:r>
    </w:p>
    <w:p>
      <w:pPr>
        <w:pStyle w:val="0"/>
        <w:spacing w:before="200" w:lineRule="auto"/>
        <w:ind w:firstLine="540"/>
        <w:jc w:val="both"/>
      </w:pPr>
      <w:r>
        <w:rPr>
          <w:sz w:val="20"/>
        </w:rPr>
        <w:t xml:space="preserve">В 2023 году в области досрочно завершилась программа переселения граждан из аварийного жилищного фонда, признанного таковым до 2017 года. Помимо сокращения количества аварийного жилья на территории региона, реализация программы положительным образом повлияла на достижение показателя по объему ввода жилья, установленного национальным проектом "Жилье и городская среда", а также помогла высвободить новые земельные участки из-под аварийных домов под строительство нового жилищного фонда.</w:t>
      </w:r>
    </w:p>
    <w:p>
      <w:pPr>
        <w:pStyle w:val="0"/>
        <w:spacing w:before="200" w:lineRule="auto"/>
        <w:ind w:firstLine="540"/>
        <w:jc w:val="both"/>
      </w:pPr>
      <w:r>
        <w:rPr>
          <w:sz w:val="20"/>
        </w:rPr>
        <w:t xml:space="preserve">Стратегическая цель сферы жилищного строительства и жилищной политики в Тульской области - обеспечение достижения национальных целей и задач, определенных национальным проектом "Инфраструктура для жизни" в соответствии с </w:t>
      </w:r>
      <w:hyperlink w:history="0" r:id="rId40"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Указом</w:t>
        </w:r>
      </w:hyperlink>
      <w:r>
        <w:rPr>
          <w:sz w:val="20"/>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 и предполагающих значительное повышение жилищной обеспеченности жителей региона к 2030 - 2036 годы.</w:t>
      </w:r>
    </w:p>
    <w:p>
      <w:pPr>
        <w:pStyle w:val="0"/>
        <w:spacing w:before="200" w:lineRule="auto"/>
        <w:ind w:firstLine="540"/>
        <w:jc w:val="both"/>
      </w:pPr>
      <w:r>
        <w:rPr>
          <w:sz w:val="20"/>
        </w:rPr>
        <w:t xml:space="preserve">Достижение поставленной стратегической цели потребует решения следующих основных задач:</w:t>
      </w:r>
    </w:p>
    <w:p>
      <w:pPr>
        <w:pStyle w:val="0"/>
        <w:spacing w:before="200" w:lineRule="auto"/>
        <w:ind w:firstLine="540"/>
        <w:jc w:val="both"/>
      </w:pPr>
      <w:r>
        <w:rPr>
          <w:sz w:val="20"/>
        </w:rPr>
        <w:t xml:space="preserve">повышение уровня обеспеченности населения Тульской области жильем;</w:t>
      </w:r>
    </w:p>
    <w:p>
      <w:pPr>
        <w:pStyle w:val="0"/>
        <w:spacing w:before="200" w:lineRule="auto"/>
        <w:ind w:firstLine="540"/>
        <w:jc w:val="both"/>
      </w:pPr>
      <w:r>
        <w:rPr>
          <w:sz w:val="20"/>
        </w:rPr>
        <w:t xml:space="preserve">повышение доступности жилья на первичном рынке;</w:t>
      </w:r>
    </w:p>
    <w:p>
      <w:pPr>
        <w:pStyle w:val="0"/>
        <w:spacing w:before="200" w:lineRule="auto"/>
        <w:ind w:firstLine="540"/>
        <w:jc w:val="both"/>
      </w:pPr>
      <w:r>
        <w:rPr>
          <w:sz w:val="20"/>
        </w:rPr>
        <w:t xml:space="preserve">устойчивое сокращение площади непригодного для проживания жилищного фонда;</w:t>
      </w:r>
    </w:p>
    <w:p>
      <w:pPr>
        <w:pStyle w:val="0"/>
        <w:spacing w:before="200" w:lineRule="auto"/>
        <w:ind w:firstLine="540"/>
        <w:jc w:val="both"/>
      </w:pPr>
      <w:r>
        <w:rPr>
          <w:sz w:val="20"/>
        </w:rPr>
        <w:t xml:space="preserve">повышение доступности жилья для населения Тульской области, в том числе за счет льготных ипотечных программ по поддержке отдельных категорий граждан (семьи с детьми, молодые профессионалы и другие);</w:t>
      </w:r>
    </w:p>
    <w:p>
      <w:pPr>
        <w:pStyle w:val="0"/>
        <w:spacing w:before="200" w:lineRule="auto"/>
        <w:ind w:firstLine="540"/>
        <w:jc w:val="both"/>
      </w:pPr>
      <w:r>
        <w:rPr>
          <w:sz w:val="20"/>
        </w:rPr>
        <w:t xml:space="preserve">развитие индивидуального жилищного строительства и его кредитования;</w:t>
      </w:r>
    </w:p>
    <w:p>
      <w:pPr>
        <w:pStyle w:val="0"/>
        <w:spacing w:before="200" w:lineRule="auto"/>
        <w:ind w:firstLine="540"/>
        <w:jc w:val="both"/>
      </w:pPr>
      <w:r>
        <w:rPr>
          <w:sz w:val="20"/>
        </w:rPr>
        <w:t xml:space="preserve">повышение прозрачности и инвестиционной привлекательности отрасли;</w:t>
      </w:r>
    </w:p>
    <w:p>
      <w:pPr>
        <w:pStyle w:val="0"/>
        <w:spacing w:before="200" w:lineRule="auto"/>
        <w:ind w:firstLine="540"/>
        <w:jc w:val="both"/>
      </w:pPr>
      <w:r>
        <w:rPr>
          <w:sz w:val="20"/>
        </w:rPr>
        <w:t xml:space="preserve">совершенствование института саморегулирования в строительной отрасли, в том числе в целях снижения административной нагрузки;</w:t>
      </w:r>
    </w:p>
    <w:p>
      <w:pPr>
        <w:pStyle w:val="0"/>
        <w:spacing w:before="200" w:lineRule="auto"/>
        <w:ind w:firstLine="540"/>
        <w:jc w:val="both"/>
      </w:pPr>
      <w:r>
        <w:rPr>
          <w:sz w:val="20"/>
        </w:rPr>
        <w:t xml:space="preserve">повышение эффективности капитальных вложений;</w:t>
      </w:r>
    </w:p>
    <w:p>
      <w:pPr>
        <w:pStyle w:val="0"/>
        <w:spacing w:before="200" w:lineRule="auto"/>
        <w:ind w:firstLine="540"/>
        <w:jc w:val="both"/>
      </w:pPr>
      <w:r>
        <w:rPr>
          <w:sz w:val="20"/>
        </w:rPr>
        <w:t xml:space="preserve">формирование и развитие цифровой системы управления жизненным циклом объектов капитального строительства, в том числе цифровизация государственного строительного надзора и строительного контроля;</w:t>
      </w:r>
    </w:p>
    <w:p>
      <w:pPr>
        <w:pStyle w:val="0"/>
        <w:spacing w:before="200" w:lineRule="auto"/>
        <w:ind w:firstLine="540"/>
        <w:jc w:val="both"/>
      </w:pPr>
      <w:r>
        <w:rPr>
          <w:sz w:val="20"/>
        </w:rPr>
        <w:t xml:space="preserve">внедрение конкурентоспособного российского программного обеспечения при цифровизации строительной отрасли; обеспечение формирования методологической, нормативной правовой базы для обеспечения надлежащего уровня "цифровой зрелости";</w:t>
      </w:r>
    </w:p>
    <w:p>
      <w:pPr>
        <w:pStyle w:val="0"/>
        <w:spacing w:before="200" w:lineRule="auto"/>
        <w:ind w:firstLine="540"/>
        <w:jc w:val="both"/>
      </w:pPr>
      <w:r>
        <w:rPr>
          <w:sz w:val="20"/>
        </w:rPr>
        <w:t xml:space="preserve">минимизация негативного воздействия строительной отрасли на окружающую среду;</w:t>
      </w:r>
    </w:p>
    <w:p>
      <w:pPr>
        <w:pStyle w:val="0"/>
        <w:spacing w:before="200" w:lineRule="auto"/>
        <w:ind w:firstLine="540"/>
        <w:jc w:val="both"/>
      </w:pPr>
      <w:r>
        <w:rPr>
          <w:sz w:val="20"/>
        </w:rPr>
        <w:t xml:space="preserve">консолидация информации о градостроительной деятельности на территории Тульской области, обеспечивающей поддержку принятия управленческих решений и широкий доступ для участников отрасли с целями минимизации транзакционных издержек взаимодействия, сокращения административной нагрузки, сокращения сроков и затрат инвестиционно-строительного цикла объектов капитального строительства.</w:t>
      </w:r>
    </w:p>
    <w:p>
      <w:pPr>
        <w:pStyle w:val="0"/>
        <w:spacing w:before="200" w:lineRule="auto"/>
        <w:ind w:firstLine="540"/>
        <w:jc w:val="both"/>
      </w:pPr>
      <w:r>
        <w:rPr>
          <w:sz w:val="20"/>
        </w:rPr>
        <w:t xml:space="preserve">Выполнение задач развития сферы жилищного строительства Тульской области планируется достигнуть за счет выполнения следующих мероприятий:</w:t>
      </w:r>
    </w:p>
    <w:p>
      <w:pPr>
        <w:pStyle w:val="0"/>
        <w:spacing w:before="200" w:lineRule="auto"/>
        <w:ind w:firstLine="540"/>
        <w:jc w:val="both"/>
      </w:pPr>
      <w:r>
        <w:rPr>
          <w:sz w:val="20"/>
        </w:rPr>
        <w:t xml:space="preserve">реализация мер государственной поддержки, направленных на обеспечение жильем детей-сирот, граждан, проживающих в аварийном жилищном фонде, многодетных, молодых семей, работников бюджетной сферы путем предоставления жилых помещений и жилищных сертификатов, проведения капитального ремонта многоквартирных домов, развития ипотечного кредитования путем наделения Регионального фонда развития жилищного строительства и ипотечного кредитования статуса микрокредитной организации;</w:t>
      </w:r>
    </w:p>
    <w:p>
      <w:pPr>
        <w:pStyle w:val="0"/>
        <w:spacing w:before="200" w:lineRule="auto"/>
        <w:ind w:firstLine="540"/>
        <w:jc w:val="both"/>
      </w:pPr>
      <w:r>
        <w:rPr>
          <w:sz w:val="20"/>
        </w:rPr>
        <w:t xml:space="preserve">снижение предельного срока для проведения общих собраний собственников многоквартирных домов, не признанных аварийными и подлежащими сносу или реконструкции и включенных в проект решения о комплексном развитии территории жилой застройки, по вопросу включения многоквартирного дома в решение о комплексном развитии территории жилой застройки (с 60 до 45 календарных дней);</w:t>
      </w:r>
    </w:p>
    <w:p>
      <w:pPr>
        <w:pStyle w:val="0"/>
        <w:spacing w:before="200" w:lineRule="auto"/>
        <w:ind w:firstLine="540"/>
        <w:jc w:val="both"/>
      </w:pPr>
      <w:r>
        <w:rPr>
          <w:sz w:val="20"/>
        </w:rPr>
        <w:t xml:space="preserve">включение бизнес-процессов службы строительного надзора в цифровой сегмент строительной отрасли Тульской области, надзор в рамках цифровой информационной модели объекта капитального строительства; автоматизация функций службы строительного надзора при осуществлении контрольных (надзорных) мероприятий;</w:t>
      </w:r>
    </w:p>
    <w:p>
      <w:pPr>
        <w:pStyle w:val="0"/>
        <w:spacing w:before="200" w:lineRule="auto"/>
        <w:ind w:firstLine="540"/>
        <w:jc w:val="both"/>
      </w:pPr>
      <w:r>
        <w:rPr>
          <w:sz w:val="20"/>
        </w:rPr>
        <w:t xml:space="preserve">реализация проекта строительства компанией Общества с ограниченной ответственностью "Три Эс Новая Тула";</w:t>
      </w:r>
    </w:p>
    <w:p>
      <w:pPr>
        <w:pStyle w:val="0"/>
        <w:spacing w:before="200" w:lineRule="auto"/>
        <w:ind w:firstLine="540"/>
        <w:jc w:val="both"/>
      </w:pPr>
      <w:r>
        <w:rPr>
          <w:sz w:val="20"/>
        </w:rPr>
        <w:t xml:space="preserve">строительство недвижимости на земельных участках, предоставляемых застройщикам в рамках </w:t>
      </w:r>
      <w:hyperlink w:history="0" r:id="rId41" w:tooltip="Закон Тульской области от 15.07.2016 N 61-ЗТО (ред. от 30.01.2026) &quot;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государственной или муниципальной собственности, в аренду без проведения торгов&quot; (принят Тульской областной Думой 14.07.2016) {КонсультантПлюс}">
        <w:r>
          <w:rPr>
            <w:sz w:val="20"/>
            <w:color w:val="0000ff"/>
          </w:rPr>
          <w:t xml:space="preserve">Закона</w:t>
        </w:r>
      </w:hyperlink>
      <w:r>
        <w:rPr>
          <w:sz w:val="20"/>
        </w:rPr>
        <w:t xml:space="preserve"> Тульской области от 15 июля 2016 года N 61-ЗТО "Об установлении критериев, которым должны соответствовать объекты социально-культурного и коммунально-бытового назначения, масштабные инвестиционные проекты, для размещения (реализации) которых допускается предоставление земельного участка, находящегося в государственной или муниципальной собственности, в аренду без проведения торгов";</w:t>
      </w:r>
    </w:p>
    <w:p>
      <w:pPr>
        <w:pStyle w:val="0"/>
        <w:spacing w:before="200" w:lineRule="auto"/>
        <w:ind w:firstLine="540"/>
        <w:jc w:val="both"/>
      </w:pPr>
      <w:r>
        <w:rPr>
          <w:sz w:val="20"/>
        </w:rPr>
        <w:t xml:space="preserve">обеспечение переселения граждан из аварийного жилищного фонда, в рамках которого наряду с переселением также осуществляется снос аварийного жилья;</w:t>
      </w:r>
    </w:p>
    <w:p>
      <w:pPr>
        <w:pStyle w:val="0"/>
        <w:spacing w:before="200" w:lineRule="auto"/>
        <w:ind w:firstLine="540"/>
        <w:jc w:val="both"/>
      </w:pPr>
      <w:r>
        <w:rPr>
          <w:sz w:val="20"/>
        </w:rPr>
        <w:t xml:space="preserve">приобретение жилых помещений, в т.ч. путем участия в долевом строительстве, для нуждающихся граждан;</w:t>
      </w:r>
    </w:p>
    <w:p>
      <w:pPr>
        <w:pStyle w:val="0"/>
        <w:spacing w:before="200" w:lineRule="auto"/>
        <w:ind w:firstLine="540"/>
        <w:jc w:val="both"/>
      </w:pPr>
      <w:r>
        <w:rPr>
          <w:sz w:val="20"/>
        </w:rPr>
        <w:t xml:space="preserve">предоставление молодым семьям сертификатов на улучшение жилищных условий в рамках государственной </w:t>
      </w:r>
      <w:hyperlink w:history="0" r:id="rId42" w:tooltip="Постановление Правительства РФ от 30.12.2017 N 1710 (ред. от 06.05.2026) &quot;Об утверждении государственной программы Российской Федерации &quot;Обеспечение доступным и комфортным жильем и коммунальными услугами граждан Российской Федерации&quot; {КонсультантПлюс}">
        <w:r>
          <w:rPr>
            <w:sz w:val="20"/>
            <w:color w:val="0000ff"/>
          </w:rPr>
          <w:t xml:space="preserve">программы</w:t>
        </w:r>
      </w:hyperlink>
      <w:r>
        <w:rPr>
          <w:sz w:val="20"/>
        </w:rPr>
        <w:t xml:space="preserve"> Российской Федерации "Обеспечение доступным и комфортным жильем и коммунальными услугами граждан Российской Федерации";</w:t>
      </w:r>
    </w:p>
    <w:p>
      <w:pPr>
        <w:pStyle w:val="0"/>
        <w:spacing w:before="200" w:lineRule="auto"/>
        <w:ind w:firstLine="540"/>
        <w:jc w:val="both"/>
      </w:pPr>
      <w:r>
        <w:rPr>
          <w:sz w:val="20"/>
        </w:rPr>
        <w:t xml:space="preserve">предоставление дополнительной социальной выплаты при рождении (усыновлении) одного ребенка в рамках государственной </w:t>
      </w:r>
      <w:hyperlink w:history="0" r:id="rId43" w:tooltip="Постановление правительства Тульской области от 29.12.2018 N 598 (ред. от 05.06.2026) &quot;Об утверждении государственной программы Тульской области &quot;Обеспечение доступным и комфортным жильем населения Тульской области&quot; (вместе с &quot;Составом управляющего совета государственной программы Тульской области &quot;Обеспечение доступным и комфортным жильем населения Тульской области&quot; по должностям&quot;) {КонсультантПлюс}">
        <w:r>
          <w:rPr>
            <w:sz w:val="20"/>
            <w:color w:val="0000ff"/>
          </w:rPr>
          <w:t xml:space="preserve">программы</w:t>
        </w:r>
      </w:hyperlink>
      <w:r>
        <w:rPr>
          <w:sz w:val="20"/>
        </w:rPr>
        <w:t xml:space="preserve"> Тульской области "Обеспечение доступным и комфортным жильем населения Тульской области".</w:t>
      </w:r>
    </w:p>
    <w:p>
      <w:pPr>
        <w:pStyle w:val="0"/>
      </w:pPr>
      <w:r>
        <w:rPr>
          <w:sz w:val="20"/>
        </w:rPr>
      </w:r>
    </w:p>
    <w:p>
      <w:pPr>
        <w:pStyle w:val="2"/>
        <w:outlineLvl w:val="2"/>
        <w:jc w:val="center"/>
      </w:pPr>
      <w:r>
        <w:rPr>
          <w:sz w:val="20"/>
        </w:rPr>
        <w:t xml:space="preserve">14.4. Формирование комфортной городской среды и развитие</w:t>
      </w:r>
    </w:p>
    <w:p>
      <w:pPr>
        <w:pStyle w:val="2"/>
        <w:jc w:val="center"/>
      </w:pPr>
      <w:r>
        <w:rPr>
          <w:sz w:val="20"/>
        </w:rPr>
        <w:t xml:space="preserve">общественных пространств в городах и на сельских территориях</w:t>
      </w:r>
    </w:p>
    <w:p>
      <w:pPr>
        <w:pStyle w:val="0"/>
      </w:pPr>
      <w:r>
        <w:rPr>
          <w:sz w:val="20"/>
        </w:rPr>
      </w:r>
    </w:p>
    <w:p>
      <w:pPr>
        <w:pStyle w:val="0"/>
        <w:ind w:firstLine="540"/>
        <w:jc w:val="both"/>
      </w:pPr>
      <w:r>
        <w:rPr>
          <w:sz w:val="20"/>
        </w:rPr>
        <w:t xml:space="preserve">В Тульской области значительная часть городов и поселков имеет улучшенную транспортную инфраструктуру, однако требуют улучшения качества улиц и тротуаров.</w:t>
      </w:r>
    </w:p>
    <w:p>
      <w:pPr>
        <w:pStyle w:val="0"/>
        <w:spacing w:before="200" w:lineRule="auto"/>
        <w:ind w:firstLine="540"/>
        <w:jc w:val="both"/>
      </w:pPr>
      <w:r>
        <w:rPr>
          <w:sz w:val="20"/>
        </w:rPr>
        <w:t xml:space="preserve">Общественный транспорт в крупных городах обеспечен в достаточном объеме, но сельские районы требуют большей доступности и регулярности маршрутов.</w:t>
      </w:r>
    </w:p>
    <w:p>
      <w:pPr>
        <w:pStyle w:val="0"/>
        <w:spacing w:before="200" w:lineRule="auto"/>
        <w:ind w:firstLine="540"/>
        <w:jc w:val="both"/>
      </w:pPr>
      <w:r>
        <w:rPr>
          <w:sz w:val="20"/>
        </w:rPr>
        <w:t xml:space="preserve">В крупных городах, таких как Тула, в последние годы улучшено состояние парков и скверов, однако существует потребность в развитии общественных пространств в небольших городах и на сельских территориях.</w:t>
      </w:r>
    </w:p>
    <w:p>
      <w:pPr>
        <w:pStyle w:val="0"/>
        <w:spacing w:before="200" w:lineRule="auto"/>
        <w:ind w:firstLine="540"/>
        <w:jc w:val="both"/>
      </w:pPr>
      <w:r>
        <w:rPr>
          <w:sz w:val="20"/>
        </w:rPr>
        <w:t xml:space="preserve">Стратегические цели:</w:t>
      </w:r>
    </w:p>
    <w:p>
      <w:pPr>
        <w:pStyle w:val="0"/>
        <w:spacing w:before="200" w:lineRule="auto"/>
        <w:ind w:firstLine="540"/>
        <w:jc w:val="both"/>
      </w:pPr>
      <w:r>
        <w:rPr>
          <w:sz w:val="20"/>
        </w:rPr>
        <w:t xml:space="preserve">повышение качества и эстетики городской и сельской среды;</w:t>
      </w:r>
    </w:p>
    <w:p>
      <w:pPr>
        <w:pStyle w:val="0"/>
        <w:spacing w:before="200" w:lineRule="auto"/>
        <w:ind w:firstLine="540"/>
        <w:jc w:val="both"/>
      </w:pPr>
      <w:r>
        <w:rPr>
          <w:sz w:val="20"/>
        </w:rPr>
        <w:t xml:space="preserve">обеспечение комфортной и безопасной среды для жизни и досуга;</w:t>
      </w:r>
    </w:p>
    <w:p>
      <w:pPr>
        <w:pStyle w:val="0"/>
        <w:spacing w:before="200" w:lineRule="auto"/>
        <w:ind w:firstLine="540"/>
        <w:jc w:val="both"/>
      </w:pPr>
      <w:r>
        <w:rPr>
          <w:sz w:val="20"/>
        </w:rPr>
        <w:t xml:space="preserve">увеличение доли благоустроенных общественных пространств;</w:t>
      </w:r>
    </w:p>
    <w:p>
      <w:pPr>
        <w:pStyle w:val="0"/>
        <w:spacing w:before="200" w:lineRule="auto"/>
        <w:ind w:firstLine="540"/>
        <w:jc w:val="both"/>
      </w:pPr>
      <w:r>
        <w:rPr>
          <w:sz w:val="20"/>
        </w:rPr>
        <w:t xml:space="preserve">системное благоустройство городской и сельской среды;</w:t>
      </w:r>
    </w:p>
    <w:p>
      <w:pPr>
        <w:pStyle w:val="0"/>
        <w:spacing w:before="200" w:lineRule="auto"/>
        <w:ind w:firstLine="540"/>
        <w:jc w:val="both"/>
      </w:pPr>
      <w:r>
        <w:rPr>
          <w:sz w:val="20"/>
        </w:rPr>
        <w:t xml:space="preserve">расширение доступа к зонам активного отдыха;</w:t>
      </w:r>
    </w:p>
    <w:p>
      <w:pPr>
        <w:pStyle w:val="0"/>
        <w:spacing w:before="200" w:lineRule="auto"/>
        <w:ind w:firstLine="540"/>
        <w:jc w:val="both"/>
      </w:pPr>
      <w:r>
        <w:rPr>
          <w:sz w:val="20"/>
        </w:rPr>
        <w:t xml:space="preserve">развитие инклюзивной и безопасной инфраструктуры;</w:t>
      </w:r>
    </w:p>
    <w:p>
      <w:pPr>
        <w:pStyle w:val="0"/>
        <w:spacing w:before="200" w:lineRule="auto"/>
        <w:ind w:firstLine="540"/>
        <w:jc w:val="both"/>
      </w:pPr>
      <w:r>
        <w:rPr>
          <w:sz w:val="20"/>
        </w:rPr>
        <w:t xml:space="preserve">обеспечение доступности для маломобильных групп, детей, пожилых людей.</w:t>
      </w:r>
    </w:p>
    <w:p>
      <w:pPr>
        <w:pStyle w:val="0"/>
        <w:spacing w:before="200" w:lineRule="auto"/>
        <w:ind w:firstLine="540"/>
        <w:jc w:val="both"/>
      </w:pPr>
      <w:r>
        <w:rPr>
          <w:sz w:val="20"/>
        </w:rPr>
        <w:t xml:space="preserve">Для достижения поставленных целей планируется решение следующих задач:</w:t>
      </w:r>
    </w:p>
    <w:p>
      <w:pPr>
        <w:pStyle w:val="0"/>
        <w:spacing w:before="200" w:lineRule="auto"/>
        <w:ind w:firstLine="540"/>
        <w:jc w:val="both"/>
      </w:pPr>
      <w:r>
        <w:rPr>
          <w:sz w:val="20"/>
        </w:rPr>
        <w:t xml:space="preserve">улучшение состояния улиц, тротуаров, общественных пространств, дворов и зон отдыха, особенно в малых городах и сельской местности;</w:t>
      </w:r>
    </w:p>
    <w:p>
      <w:pPr>
        <w:pStyle w:val="0"/>
        <w:spacing w:before="200" w:lineRule="auto"/>
        <w:ind w:firstLine="540"/>
        <w:jc w:val="both"/>
      </w:pPr>
      <w:r>
        <w:rPr>
          <w:sz w:val="20"/>
        </w:rPr>
        <w:t xml:space="preserve">разработка и реконструкция общественных пространств, таких как парки, скверы, спортивные и культурные зоны, с учетом нужд всех возрастных и социально уязвимых групп;</w:t>
      </w:r>
    </w:p>
    <w:p>
      <w:pPr>
        <w:pStyle w:val="0"/>
        <w:spacing w:before="200" w:lineRule="auto"/>
        <w:ind w:firstLine="540"/>
        <w:jc w:val="both"/>
      </w:pPr>
      <w:r>
        <w:rPr>
          <w:sz w:val="20"/>
        </w:rPr>
        <w:t xml:space="preserve">создание безбарьерной среды и улучшение доступа для маломобильных граждан в общественные пространства;</w:t>
      </w:r>
    </w:p>
    <w:p>
      <w:pPr>
        <w:pStyle w:val="0"/>
        <w:spacing w:before="200" w:lineRule="auto"/>
        <w:ind w:firstLine="540"/>
        <w:jc w:val="both"/>
      </w:pPr>
      <w:r>
        <w:rPr>
          <w:sz w:val="20"/>
        </w:rPr>
        <w:t xml:space="preserve">внедрение цифровых решений для мониторинга состояния городской среды, учета благоустройства, а также обеспечения обратной связи от граждан;</w:t>
      </w:r>
    </w:p>
    <w:p>
      <w:pPr>
        <w:pStyle w:val="0"/>
        <w:spacing w:before="200" w:lineRule="auto"/>
        <w:ind w:firstLine="540"/>
        <w:jc w:val="both"/>
      </w:pPr>
      <w:r>
        <w:rPr>
          <w:sz w:val="20"/>
        </w:rPr>
        <w:t xml:space="preserve">создание и интеграция зеленых и экологически устойчивых объектов в городскую и сельскую среду;</w:t>
      </w:r>
    </w:p>
    <w:p>
      <w:pPr>
        <w:pStyle w:val="0"/>
        <w:spacing w:before="200" w:lineRule="auto"/>
        <w:ind w:firstLine="540"/>
        <w:jc w:val="both"/>
      </w:pPr>
      <w:r>
        <w:rPr>
          <w:sz w:val="20"/>
        </w:rPr>
        <w:t xml:space="preserve">повышение вовлеченности местных жителей, НКО и бизнеса в процессы планирования и поддержания общественных пространств через партисипативное управление.</w:t>
      </w:r>
    </w:p>
    <w:p>
      <w:pPr>
        <w:pStyle w:val="0"/>
      </w:pPr>
      <w:r>
        <w:rPr>
          <w:sz w:val="20"/>
        </w:rPr>
      </w:r>
    </w:p>
    <w:p>
      <w:pPr>
        <w:pStyle w:val="2"/>
        <w:outlineLvl w:val="2"/>
        <w:jc w:val="center"/>
      </w:pPr>
      <w:r>
        <w:rPr>
          <w:sz w:val="20"/>
        </w:rPr>
        <w:t xml:space="preserve">14.5. Развитие инфраструктурного каркаса Тульской области</w:t>
      </w:r>
    </w:p>
    <w:p>
      <w:pPr>
        <w:pStyle w:val="0"/>
      </w:pPr>
      <w:r>
        <w:rPr>
          <w:sz w:val="20"/>
        </w:rPr>
      </w:r>
    </w:p>
    <w:p>
      <w:pPr>
        <w:pStyle w:val="0"/>
        <w:ind w:firstLine="540"/>
        <w:jc w:val="both"/>
      </w:pPr>
      <w:r>
        <w:rPr>
          <w:sz w:val="20"/>
        </w:rPr>
        <w:t xml:space="preserve">Коммунальные услуги населению на территории Тульской области оказывает 103 организации с численностью работников 12 тыс. человек.</w:t>
      </w:r>
    </w:p>
    <w:p>
      <w:pPr>
        <w:pStyle w:val="0"/>
        <w:spacing w:before="200" w:lineRule="auto"/>
        <w:ind w:firstLine="540"/>
        <w:jc w:val="both"/>
      </w:pPr>
      <w:r>
        <w:rPr>
          <w:sz w:val="20"/>
        </w:rPr>
        <w:t xml:space="preserve">Общая протяженность инженерных сетей теплоснабжения, водоснабжения и водоотведения в регионе составляет около 12 тыс. км; число котельных - 654; тепловых электростанций (далее - ТЭС) и государственных районных электростанций - 8; число объектов водоснабжения - 2062; очистных сооружений канализации - 105.</w:t>
      </w:r>
    </w:p>
    <w:p>
      <w:pPr>
        <w:pStyle w:val="0"/>
        <w:spacing w:before="200" w:lineRule="auto"/>
        <w:ind w:firstLine="540"/>
        <w:jc w:val="both"/>
      </w:pPr>
      <w:r>
        <w:rPr>
          <w:sz w:val="20"/>
        </w:rPr>
        <w:t xml:space="preserve">По состоянию на 1 января 2025 уровень газификации Тульской области составляет 89,3% (согласно расчетам Министерства энергетики Российской Федерации, выполненным в соответствии с </w:t>
      </w:r>
      <w:hyperlink w:history="0" r:id="rId44" w:tooltip="Приказ Минэнерго России от 21.06.2024 N 685 &quot;Об утверждении методики расчета показателей газификации&quot; (Зарегистрировано в Минюсте России 14.10.2024 N 79780) {КонсультантПлюс}">
        <w:r>
          <w:rPr>
            <w:sz w:val="20"/>
            <w:color w:val="0000ff"/>
          </w:rPr>
          <w:t xml:space="preserve">Методикой</w:t>
        </w:r>
      </w:hyperlink>
      <w:r>
        <w:rPr>
          <w:sz w:val="20"/>
        </w:rPr>
        <w:t xml:space="preserve"> расчета показателей газификации, утвержденной Приказом от 21.06.2024 N 685), что выше среднего уровня по Российской Федерации (73%). Число газораспределительных станций в регионе - 77, протяженность газораспределительных сетей - примерно 20 тыс. км, магистральных газопроводов - более 1,5 тыс. км. Тульская область относится к регионам-лидерам по использованию газомоторного топлива - 23,44 млн. куб. м природного газа по итогам 2024 года (прирост на 21,7% по отношению к 2023 году).</w:t>
      </w:r>
    </w:p>
    <w:p>
      <w:pPr>
        <w:pStyle w:val="0"/>
        <w:spacing w:before="200" w:lineRule="auto"/>
        <w:ind w:firstLine="540"/>
        <w:jc w:val="both"/>
      </w:pPr>
      <w:r>
        <w:rPr>
          <w:sz w:val="20"/>
        </w:rPr>
        <w:t xml:space="preserve">В рамках федерального проекта "Чистая вода" и регионального проекта "Чистая вода Тульской области" за период 2018 - 2024 годы модернизировано 228 объектов водоснабжения, что привело к улучшению качества водоснабжения 318 тыс. человек (22% от населения) и 89 объектов водоотведения. В результате доля населения, обеспеченного качественной питьевой водой по Тульской области, составила 94,2%.</w:t>
      </w:r>
    </w:p>
    <w:p>
      <w:pPr>
        <w:pStyle w:val="0"/>
        <w:spacing w:before="200" w:lineRule="auto"/>
        <w:ind w:firstLine="540"/>
        <w:jc w:val="both"/>
      </w:pPr>
      <w:r>
        <w:rPr>
          <w:sz w:val="20"/>
        </w:rPr>
        <w:t xml:space="preserve">В части теплоснабжения Тульская область - лидер по замене ветхих тепловых сетей в зоне действия Приокского Управления Федеральной службы по экологическому, технологическому и атомному надзору. С 2014 года заменено порядка 70% теплосетей.</w:t>
      </w:r>
    </w:p>
    <w:p>
      <w:pPr>
        <w:pStyle w:val="0"/>
        <w:spacing w:before="200" w:lineRule="auto"/>
        <w:ind w:firstLine="540"/>
        <w:jc w:val="both"/>
      </w:pPr>
      <w:r>
        <w:rPr>
          <w:sz w:val="20"/>
        </w:rPr>
        <w:t xml:space="preserve">Рассматриваемая сфера привлекательна и для инвесторов: 19 из 21 концессионного соглашения заключены именно на объекты теплоснабжения.</w:t>
      </w:r>
    </w:p>
    <w:p>
      <w:pPr>
        <w:pStyle w:val="0"/>
        <w:spacing w:before="200" w:lineRule="auto"/>
        <w:ind w:firstLine="540"/>
        <w:jc w:val="both"/>
      </w:pPr>
      <w:r>
        <w:rPr>
          <w:sz w:val="20"/>
        </w:rPr>
        <w:t xml:space="preserve">Так, в 2024 году построены 10 новых котельных или 1,5% от их общего числа в регионе, произведена замена более 111 км тепловых сетей (5,9% от общей протяженности), что вдвое выше средних показателей замены сетей по России. Износ тепловых сетей в Тульской области каждый год сокращается и в 2024 году составил 47%, что ниже среднего в стране уровня (&gt; 60%).</w:t>
      </w:r>
    </w:p>
    <w:p>
      <w:pPr>
        <w:pStyle w:val="0"/>
        <w:spacing w:before="200" w:lineRule="auto"/>
        <w:ind w:firstLine="540"/>
        <w:jc w:val="both"/>
      </w:pPr>
      <w:r>
        <w:rPr>
          <w:sz w:val="20"/>
        </w:rPr>
        <w:t xml:space="preserve">В 2025 году продолжена модернизация инженерных систем коммунального комплекса региона.</w:t>
      </w:r>
    </w:p>
    <w:p>
      <w:pPr>
        <w:pStyle w:val="0"/>
        <w:spacing w:before="200" w:lineRule="auto"/>
        <w:ind w:firstLine="540"/>
        <w:jc w:val="both"/>
      </w:pPr>
      <w:r>
        <w:rPr>
          <w:sz w:val="20"/>
        </w:rPr>
        <w:t xml:space="preserve">Электроэнергетика Тульской области имеет собственную генерацию установленной мощностью 1596,2 МВт по состоянию на 01.01.2024 и надежные связи по линиям электропередачи 110 - 220 кВ с энергосистемами Московской, Калужской, Рязанской, Орловской и Брянский областей.</w:t>
      </w:r>
    </w:p>
    <w:p>
      <w:pPr>
        <w:pStyle w:val="0"/>
        <w:spacing w:before="200" w:lineRule="auto"/>
        <w:ind w:firstLine="540"/>
        <w:jc w:val="both"/>
      </w:pPr>
      <w:r>
        <w:rPr>
          <w:sz w:val="20"/>
        </w:rPr>
        <w:t xml:space="preserve">В структуре генерирующих мощностей на ТЭС приходится 100%. Потребление электроэнергии в 2024 году составило 11 594 млн. кВт/ч, а среднегодовой темп прироста потребления электроэнергии в 2019 - 2024 годы - 3,35%, что выше, чем в среднем по России.</w:t>
      </w:r>
    </w:p>
    <w:p>
      <w:pPr>
        <w:pStyle w:val="0"/>
        <w:spacing w:before="200" w:lineRule="auto"/>
        <w:ind w:firstLine="540"/>
        <w:jc w:val="both"/>
      </w:pPr>
      <w:r>
        <w:rPr>
          <w:sz w:val="20"/>
        </w:rPr>
        <w:t xml:space="preserve">Объем отгруженной продукции по виду экономической деятельности "Обеспечение электрической энергией, газом и паром; кондиционирование воздуха" в 2024 году составил 59,8 млрд. рублей, доля в отгруженной продукции промышленного производства региона - 3,1%, в отрасли занято около 17 тыс. человек.</w:t>
      </w:r>
    </w:p>
    <w:p>
      <w:pPr>
        <w:pStyle w:val="0"/>
        <w:spacing w:before="200" w:lineRule="auto"/>
        <w:ind w:firstLine="540"/>
        <w:jc w:val="both"/>
      </w:pPr>
      <w:r>
        <w:rPr>
          <w:sz w:val="20"/>
        </w:rPr>
        <w:t xml:space="preserve">Основу электроэнергетики Тульской области составляют: открытое акционерное общество "Черепетская ГРЭС", акционерное общество "ИНТЕР РАО - Электрогенерация"; электростанции филиала акционерное общество "РИР энерго" - "Орловская генерация" (Алексинская теплоэлектроцентраль (далее - ТЭЦ), Ефремовская ТЭЦ); общество с ограниченной ответственностью "Щекинская ГРЭС"; электростанции промышленных предприятий области.</w:t>
      </w:r>
    </w:p>
    <w:p>
      <w:pPr>
        <w:pStyle w:val="0"/>
        <w:spacing w:before="200" w:lineRule="auto"/>
        <w:ind w:firstLine="540"/>
        <w:jc w:val="both"/>
      </w:pPr>
      <w:r>
        <w:rPr>
          <w:sz w:val="20"/>
        </w:rPr>
        <w:t xml:space="preserve">В сфере электроснабжения объем финансирования территориальных сетевых организаций (ТСО) в 2024 году составил 5,87 млрд. рублей. Введено 196,912 мегавольт-ампер новых трансформаторных мощностей, построено и реконструировано 568,27 км линий электропередачи. В регионе реализуются программы повышения надежности электроснабжения в Ясногорском, Заокском Алексинском районах, результатом которых является снижение количества аварийный отключений электроснабжения потребителей.</w:t>
      </w:r>
    </w:p>
    <w:p>
      <w:pPr>
        <w:pStyle w:val="0"/>
        <w:spacing w:before="200" w:lineRule="auto"/>
        <w:ind w:firstLine="540"/>
        <w:jc w:val="both"/>
      </w:pPr>
      <w:r>
        <w:rPr>
          <w:sz w:val="20"/>
        </w:rPr>
        <w:t xml:space="preserve">В рамках инвестиционных программ территориальных сетевых организаций планируется ввод 297,007 мегавольт-ампер трансформаторной мощности, строительство и реконструкция 2325,386 км линий электропередачи.</w:t>
      </w:r>
    </w:p>
    <w:p>
      <w:pPr>
        <w:pStyle w:val="0"/>
        <w:spacing w:before="200" w:lineRule="auto"/>
        <w:ind w:firstLine="540"/>
        <w:jc w:val="both"/>
      </w:pPr>
      <w:r>
        <w:rPr>
          <w:sz w:val="20"/>
        </w:rPr>
        <w:t xml:space="preserve">В утвержденной схеме и программе развития электроэнергетических систем России на 2025 - 2030 годы включены мероприятия по строительству на территории Тульской области подстанции 500 кВ с двумя автотрансформаторами 500/220 кВ мощностью 501 МВА (три однофазных автотрансформатора мощностью 167 МВА каждый) и заходов ВЛ 500 кВ Смоленская АЭС - Михайловская на ПС 500 кВ ориентировочной протяженностью 10 км каждый.</w:t>
      </w:r>
    </w:p>
    <w:p>
      <w:pPr>
        <w:pStyle w:val="0"/>
        <w:spacing w:before="200" w:lineRule="auto"/>
        <w:ind w:firstLine="540"/>
        <w:jc w:val="both"/>
      </w:pPr>
      <w:r>
        <w:rPr>
          <w:sz w:val="20"/>
        </w:rPr>
        <w:t xml:space="preserve">С 2009 года Тульская область вошла в число пилотных регионов по реализации метода доходности инвестиционного капитала (метода RAB), что позволило реализовать масштабные инвестиционные программы за счет тарифов. С 2013 года метод RAB применяется также при регулировании Акционерное общество "Тульские городские электросети". По решению Правительства Тульской области комитет Тульской области по тарифам применяет метод RAB в отношении открытого акционерного общества энергетики и электрификации "Тулэнерго" (далее - "Тулэнерго") в 2023 - 2027 годы. Объем финансирования инвестиционной программы "Тулэнерго" превышает объемы программ большинства из 20 системообразующих территориальных сетевых организаций публичного акционерного общества "Россети Центр и Приволжье" и публичного акционерного общества "Россети Центр" ("Тулэнерго" на 3-м месте), что позволяет финансировать мероприятия по реконструкции и модернизации сетей (в целях снижения износа оборудования и потерь энергии в сетях), а также по подключению льготных потребителей.</w:t>
      </w:r>
    </w:p>
    <w:p>
      <w:pPr>
        <w:pStyle w:val="0"/>
        <w:spacing w:before="200" w:lineRule="auto"/>
        <w:ind w:firstLine="540"/>
        <w:jc w:val="both"/>
      </w:pPr>
      <w:r>
        <w:rPr>
          <w:sz w:val="20"/>
        </w:rPr>
        <w:t xml:space="preserve">Стратегическая цель развития сектора энергетики и ЖКХ Тульской области - создание условий для трансформации Тульской области в территорию семейного счастья, в том числе за счет дальнейшего повышения качества предоставляемых потребителям Тульской области услуг, модернизации энергетических объектов, коммунальной инфраструктуры и снижения числа аварийных ситуаций.</w:t>
      </w:r>
    </w:p>
    <w:p>
      <w:pPr>
        <w:pStyle w:val="0"/>
        <w:spacing w:before="200" w:lineRule="auto"/>
        <w:ind w:firstLine="540"/>
        <w:jc w:val="both"/>
      </w:pPr>
      <w:r>
        <w:rPr>
          <w:sz w:val="20"/>
        </w:rPr>
        <w:t xml:space="preserve">Для достижения поставленной цели потребуется решение следующих основных задач:</w:t>
      </w:r>
    </w:p>
    <w:p>
      <w:pPr>
        <w:pStyle w:val="0"/>
        <w:spacing w:before="200" w:lineRule="auto"/>
        <w:ind w:firstLine="540"/>
        <w:jc w:val="both"/>
      </w:pPr>
      <w:r>
        <w:rPr>
          <w:sz w:val="20"/>
        </w:rPr>
        <w:t xml:space="preserve">благоустройство общественных территорий и реализация в малых городах и исторических поселениях проектов победителей Всероссийского конкурса лучших проектов создания комфортной городской среды;</w:t>
      </w:r>
    </w:p>
    <w:p>
      <w:pPr>
        <w:pStyle w:val="0"/>
        <w:spacing w:before="200" w:lineRule="auto"/>
        <w:ind w:firstLine="540"/>
        <w:jc w:val="both"/>
      </w:pPr>
      <w:r>
        <w:rPr>
          <w:sz w:val="20"/>
        </w:rPr>
        <w:t xml:space="preserve">реализация программы модернизации коммунальной инфраструктуры и улучшение качества предоставляемых коммунальных услуг;</w:t>
      </w:r>
    </w:p>
    <w:p>
      <w:pPr>
        <w:pStyle w:val="0"/>
        <w:spacing w:before="200" w:lineRule="auto"/>
        <w:ind w:firstLine="540"/>
        <w:jc w:val="both"/>
      </w:pPr>
      <w:r>
        <w:rPr>
          <w:sz w:val="20"/>
        </w:rPr>
        <w:t xml:space="preserve">строительство и реконструкция (модернизация) объектов питьевого водоснабжения и водоподготовки;</w:t>
      </w:r>
    </w:p>
    <w:p>
      <w:pPr>
        <w:pStyle w:val="0"/>
        <w:spacing w:before="200" w:lineRule="auto"/>
        <w:ind w:firstLine="540"/>
        <w:jc w:val="both"/>
      </w:pPr>
      <w:r>
        <w:rPr>
          <w:sz w:val="20"/>
        </w:rPr>
        <w:t xml:space="preserve">обеспечение значимого роста энергетической и ресурсной эффективности в жилищно-коммунальном хозяйстве, промышленном и инфраструктурном строительстве;</w:t>
      </w:r>
    </w:p>
    <w:p>
      <w:pPr>
        <w:pStyle w:val="0"/>
        <w:spacing w:before="200" w:lineRule="auto"/>
        <w:ind w:firstLine="540"/>
        <w:jc w:val="both"/>
      </w:pPr>
      <w:r>
        <w:rPr>
          <w:sz w:val="20"/>
        </w:rPr>
        <w:t xml:space="preserve">увеличение инвестиций в модернизацию существующих и строительство новых объектов энергетики и ЖКХ;</w:t>
      </w:r>
    </w:p>
    <w:p>
      <w:pPr>
        <w:pStyle w:val="0"/>
        <w:spacing w:before="200" w:lineRule="auto"/>
        <w:ind w:firstLine="540"/>
        <w:jc w:val="both"/>
      </w:pPr>
      <w:r>
        <w:rPr>
          <w:sz w:val="20"/>
        </w:rPr>
        <w:t xml:space="preserve">привлечение дополнительных источников финансирования, в том числе внебюджетных;</w:t>
      </w:r>
    </w:p>
    <w:p>
      <w:pPr>
        <w:pStyle w:val="0"/>
        <w:spacing w:before="200" w:lineRule="auto"/>
        <w:ind w:firstLine="540"/>
        <w:jc w:val="both"/>
      </w:pPr>
      <w:r>
        <w:rPr>
          <w:sz w:val="20"/>
        </w:rPr>
        <w:t xml:space="preserve">внедрение передовых технических решений на предприятиях энергетики и ЖКХ;</w:t>
      </w:r>
    </w:p>
    <w:p>
      <w:pPr>
        <w:pStyle w:val="0"/>
        <w:spacing w:before="200" w:lineRule="auto"/>
        <w:ind w:firstLine="540"/>
        <w:jc w:val="both"/>
      </w:pPr>
      <w:r>
        <w:rPr>
          <w:sz w:val="20"/>
        </w:rPr>
        <w:t xml:space="preserve">решение кадрового вопроса в сфере энергетики и ЖКХ: привлечение кадров путем стимулирования потенциальных соискателей, повышение квалификации и обучение работающего персонала.</w:t>
      </w:r>
    </w:p>
    <w:p>
      <w:pPr>
        <w:pStyle w:val="0"/>
        <w:spacing w:before="200" w:lineRule="auto"/>
        <w:ind w:firstLine="540"/>
        <w:jc w:val="both"/>
      </w:pPr>
      <w:r>
        <w:rPr>
          <w:sz w:val="20"/>
        </w:rPr>
        <w:t xml:space="preserve">В Тульской области реализуются мероприятия:</w:t>
      </w:r>
    </w:p>
    <w:p>
      <w:pPr>
        <w:pStyle w:val="0"/>
        <w:spacing w:before="200" w:lineRule="auto"/>
        <w:ind w:firstLine="540"/>
        <w:jc w:val="both"/>
      </w:pPr>
      <w:r>
        <w:rPr>
          <w:sz w:val="20"/>
        </w:rPr>
        <w:t xml:space="preserve">государственной </w:t>
      </w:r>
      <w:hyperlink w:history="0" r:id="rId45" w:tooltip="Постановление правительства Тульской области от 30.01.2019 N 21 (ред. от 19.06.2026) &quot;Об утверждении государственной программы Тульской области &quot;Обеспечение качественными услугами жилищно-коммунального хозяйства населения Тульской области&quot; (вместе с &quot;Составом управляющего совета государственной программы &quot;Обеспечение качественными услугами жилищно-коммунального хозяйства населения Тульской области&quot;) {КонсультантПлюс}">
        <w:r>
          <w:rPr>
            <w:sz w:val="20"/>
            <w:color w:val="0000ff"/>
          </w:rPr>
          <w:t xml:space="preserve">программы</w:t>
        </w:r>
      </w:hyperlink>
      <w:r>
        <w:rPr>
          <w:sz w:val="20"/>
        </w:rPr>
        <w:t xml:space="preserve"> Тульской области "Обеспечение качественными услугами жилищно-коммунального хозяйства населения Тульской области";</w:t>
      </w:r>
    </w:p>
    <w:p>
      <w:pPr>
        <w:pStyle w:val="0"/>
        <w:spacing w:before="200" w:lineRule="auto"/>
        <w:ind w:firstLine="540"/>
        <w:jc w:val="both"/>
      </w:pPr>
      <w:r>
        <w:rPr>
          <w:sz w:val="20"/>
        </w:rPr>
        <w:t xml:space="preserve">региональной программы газификации ЖКХ, промышленных и иных организаций Тульской области;</w:t>
      </w:r>
    </w:p>
    <w:p>
      <w:pPr>
        <w:pStyle w:val="0"/>
        <w:spacing w:before="200" w:lineRule="auto"/>
        <w:ind w:firstLine="540"/>
        <w:jc w:val="both"/>
      </w:pPr>
      <w:r>
        <w:rPr>
          <w:sz w:val="20"/>
        </w:rPr>
        <w:t xml:space="preserve">государственной </w:t>
      </w:r>
      <w:hyperlink w:history="0" r:id="rId46" w:tooltip="Постановление правительства Тульской области от 09.10.2017 N 457 (ред. от 30.12.2025) &quot;Об утверждении государственной программы Тульской области &quot;Формирование современной городской среды в Тульской области&quot; (вместе с &quot;Составом управляющего совета государственной программы Тульской области &quot;Формирование современной городской среды в Тульской области&quot; по должностям&quot;, &quot;Порядком информирования граждан о ходе выполнения государственной программы Тульской области &quot;Формирование современной городской среды в Тульск {КонсультантПлюс}">
        <w:r>
          <w:rPr>
            <w:sz w:val="20"/>
            <w:color w:val="0000ff"/>
          </w:rPr>
          <w:t xml:space="preserve">программы</w:t>
        </w:r>
      </w:hyperlink>
      <w:r>
        <w:rPr>
          <w:sz w:val="20"/>
        </w:rPr>
        <w:t xml:space="preserve"> Тульской области "Формирование современной городской среды в Тульской области".</w:t>
      </w:r>
    </w:p>
    <w:p>
      <w:pPr>
        <w:pStyle w:val="0"/>
        <w:spacing w:before="200" w:lineRule="auto"/>
        <w:ind w:firstLine="540"/>
        <w:jc w:val="both"/>
      </w:pPr>
      <w:r>
        <w:rPr>
          <w:sz w:val="20"/>
        </w:rPr>
        <w:t xml:space="preserve">В перечень ключевых мероприятий в сфере ЖКХ входит строительство, реконструкции (модернизация) и капитальный ремонт объектов теплоснабжения, водоснабжения и водоподготовки, водоотведения:</w:t>
      </w:r>
    </w:p>
    <w:p>
      <w:pPr>
        <w:pStyle w:val="0"/>
        <w:spacing w:before="200" w:lineRule="auto"/>
        <w:ind w:firstLine="540"/>
        <w:jc w:val="both"/>
      </w:pPr>
      <w:r>
        <w:rPr>
          <w:sz w:val="20"/>
        </w:rPr>
        <w:t xml:space="preserve">в рамках реализации государственной </w:t>
      </w:r>
      <w:hyperlink w:history="0" r:id="rId47" w:tooltip="Постановление правительства Тульской области от 30.01.2019 N 21 (ред. от 19.06.2026) &quot;Об утверждении государственной программы Тульской области &quot;Обеспечение качественными услугами жилищно-коммунального хозяйства населения Тульской области&quot; (вместе с &quot;Составом управляющего совета государственной программы &quot;Обеспечение качественными услугами жилищно-коммунального хозяйства населения Тульской области&quot;) {КонсультантПлюс}">
        <w:r>
          <w:rPr>
            <w:sz w:val="20"/>
            <w:color w:val="0000ff"/>
          </w:rPr>
          <w:t xml:space="preserve">программы</w:t>
        </w:r>
      </w:hyperlink>
      <w:r>
        <w:rPr>
          <w:sz w:val="20"/>
        </w:rPr>
        <w:t xml:space="preserve"> "Обеспечение качественными услугами жилищно-коммунального хозяйства населения Тульской области" в 2026 году планируется отремонтировать 21 объект коммунальной инфраструктуры и завершить строительство канализационных очистных сооружений в п. Новольвовск Кимовского района и реконструкцию очистных сооружений р.п. Теплое Тепло-Огаревского района;</w:t>
      </w:r>
    </w:p>
    <w:p>
      <w:pPr>
        <w:pStyle w:val="0"/>
        <w:spacing w:before="200" w:lineRule="auto"/>
        <w:ind w:firstLine="540"/>
        <w:jc w:val="both"/>
      </w:pPr>
      <w:r>
        <w:rPr>
          <w:sz w:val="20"/>
        </w:rPr>
        <w:t xml:space="preserve">в рамках федерального проекта "Модернизация коммунальной инфраструктуры" национального проекта "Инфраструктура для жизни" планируется строительство и реконструкция 4 крупных объектов - очистных сооружений канализации в городе Донском, городе Киреевске, городе Суворове и станции водоподготовки в городе Липки Киреевского района с завершением работ до конца 2027 года;</w:t>
      </w:r>
    </w:p>
    <w:p>
      <w:pPr>
        <w:pStyle w:val="0"/>
        <w:spacing w:before="200" w:lineRule="auto"/>
        <w:ind w:firstLine="540"/>
        <w:jc w:val="both"/>
      </w:pPr>
      <w:r>
        <w:rPr>
          <w:sz w:val="20"/>
        </w:rPr>
        <w:t xml:space="preserve">планируется реконструировать водовод 1-го и 2-го подъема Масловско-Песоченского водозабора до 2030 года.</w:t>
      </w:r>
    </w:p>
    <w:p>
      <w:pPr>
        <w:pStyle w:val="0"/>
        <w:spacing w:before="200" w:lineRule="auto"/>
        <w:ind w:firstLine="540"/>
        <w:jc w:val="both"/>
      </w:pPr>
      <w:r>
        <w:rPr>
          <w:sz w:val="20"/>
        </w:rPr>
        <w:t xml:space="preserve">С целью привлечения средств федерального бюджета и иных источников финансирования разработана проектно-сметная документация на объекты коммунального комплекса, по которым запланировано:</w:t>
      </w:r>
    </w:p>
    <w:p>
      <w:pPr>
        <w:pStyle w:val="0"/>
        <w:spacing w:before="200" w:lineRule="auto"/>
        <w:ind w:firstLine="540"/>
        <w:jc w:val="both"/>
      </w:pPr>
      <w:r>
        <w:rPr>
          <w:sz w:val="20"/>
        </w:rPr>
        <w:t xml:space="preserve">строительство комплекса очистных сооружений города Белева Тульской области;</w:t>
      </w:r>
    </w:p>
    <w:p>
      <w:pPr>
        <w:pStyle w:val="0"/>
        <w:spacing w:before="200" w:lineRule="auto"/>
        <w:ind w:firstLine="540"/>
        <w:jc w:val="both"/>
      </w:pPr>
      <w:r>
        <w:rPr>
          <w:sz w:val="20"/>
        </w:rPr>
        <w:t xml:space="preserve">реконструкция очистных сооружений города Венев Тульской области;</w:t>
      </w:r>
    </w:p>
    <w:p>
      <w:pPr>
        <w:pStyle w:val="0"/>
        <w:spacing w:before="200" w:lineRule="auto"/>
        <w:ind w:firstLine="540"/>
        <w:jc w:val="both"/>
      </w:pPr>
      <w:r>
        <w:rPr>
          <w:sz w:val="20"/>
        </w:rPr>
        <w:t xml:space="preserve">строительство станции водоподготовки Дубовского водозабора Узловского района Тульской области.</w:t>
      </w:r>
    </w:p>
    <w:p>
      <w:pPr>
        <w:pStyle w:val="0"/>
        <w:spacing w:before="200" w:lineRule="auto"/>
        <w:ind w:firstLine="540"/>
        <w:jc w:val="both"/>
      </w:pPr>
      <w:r>
        <w:rPr>
          <w:sz w:val="20"/>
        </w:rPr>
        <w:t xml:space="preserve">Также важным мероприятием является обновление сетей водоснабжения и реконструкция водонапорных башен на селе; асфальтирование придомовых территорий; ремонт дымовентканалов и лифтового оборудования в многоквартирных домах; установка детских и спортивных площадок; благоустройство контейнерных площадок в рамках </w:t>
      </w:r>
      <w:hyperlink w:history="0" r:id="rId48" w:tooltip="Постановление Правительства Тульской области от 01.04.2025 N 197 (ред. от 17.03.2026) &quot;Об утверждении региональной программы Тульской области &quot;Наш район&quot; {КонсультантПлюс}">
        <w:r>
          <w:rPr>
            <w:sz w:val="20"/>
            <w:color w:val="0000ff"/>
          </w:rPr>
          <w:t xml:space="preserve">программы</w:t>
        </w:r>
      </w:hyperlink>
      <w:r>
        <w:rPr>
          <w:sz w:val="20"/>
        </w:rPr>
        <w:t xml:space="preserve"> "Наш район" (2025 - 2030 годы).</w:t>
      </w:r>
    </w:p>
    <w:p>
      <w:pPr>
        <w:pStyle w:val="0"/>
        <w:spacing w:before="200" w:lineRule="auto"/>
        <w:ind w:firstLine="540"/>
        <w:jc w:val="both"/>
      </w:pPr>
      <w:r>
        <w:rPr>
          <w:sz w:val="20"/>
        </w:rPr>
        <w:t xml:space="preserve">В сфере цифровизации ЖКХ ключевым мероприятием является создание Региональной геоинформационной системы "ПРИО" (РГИС "ПРИО"), которая призвана стать единой цифровой платформой для пространственного анализа, мониторинга и управления объектами энергетики и ЖКХ. Система позволит аккумулировать данные об объектах инфраструктуры, визуализировать инженерные сети на цифровой карте региона с привязкой к адресам и кадастровым номерам, планировать ремонты, реконструкцию и новое строительство на основе геоаналитики, а также поддерживать принятие управленческих решений по развитию инфраструктуры. Ожидается, что внедрение РГИС "ПРИО" сократит сроки реагирования на аварийные ситуации до 30%, повысит точность планирования расходов и снизит издержки на содержание объектов, благодаря предиктивному обслуживанию.</w:t>
      </w:r>
    </w:p>
    <w:p>
      <w:pPr>
        <w:pStyle w:val="0"/>
        <w:spacing w:before="200" w:lineRule="auto"/>
        <w:ind w:firstLine="540"/>
        <w:jc w:val="both"/>
      </w:pPr>
      <w:r>
        <w:rPr>
          <w:sz w:val="20"/>
        </w:rPr>
        <w:t xml:space="preserve">Реализация запланированных мероприятий позволит улучшить качество коммунальных услуг для более, чем 700 тыс. жителей Тульской области.</w:t>
      </w:r>
    </w:p>
    <w:p>
      <w:pPr>
        <w:pStyle w:val="0"/>
        <w:spacing w:before="200" w:lineRule="auto"/>
        <w:ind w:firstLine="540"/>
        <w:jc w:val="both"/>
      </w:pPr>
      <w:r>
        <w:rPr>
          <w:sz w:val="20"/>
        </w:rPr>
        <w:t xml:space="preserve">С целью сокращения уровня износа лифтового оборудования принят 5-летний план, предусматривающий замену 1129 лифтов.</w:t>
      </w:r>
    </w:p>
    <w:p>
      <w:pPr>
        <w:pStyle w:val="0"/>
      </w:pPr>
      <w:r>
        <w:rPr>
          <w:sz w:val="20"/>
        </w:rPr>
      </w:r>
    </w:p>
    <w:p>
      <w:pPr>
        <w:pStyle w:val="2"/>
        <w:outlineLvl w:val="2"/>
        <w:jc w:val="center"/>
      </w:pPr>
      <w:r>
        <w:rPr>
          <w:sz w:val="20"/>
        </w:rPr>
        <w:t xml:space="preserve">14.6. Транспорт и дорожное хозяйство</w:t>
      </w:r>
    </w:p>
    <w:p>
      <w:pPr>
        <w:pStyle w:val="0"/>
      </w:pPr>
      <w:r>
        <w:rPr>
          <w:sz w:val="20"/>
        </w:rPr>
      </w:r>
    </w:p>
    <w:p>
      <w:pPr>
        <w:pStyle w:val="0"/>
        <w:ind w:firstLine="540"/>
        <w:jc w:val="both"/>
      </w:pPr>
      <w:r>
        <w:rPr>
          <w:sz w:val="20"/>
        </w:rPr>
        <w:t xml:space="preserve">Дорожно-транспортный комплекс Тульской области является одним из ключевых элементов, обеспечивающих социально-экономическое развитие региона, его связанность и конкурентоспособность. Выгодное экономико-географическое положение области, расположенной между крупнейшей столичной агломерацией и югом России, определяет ее роль как важной транзитной территории.</w:t>
      </w:r>
    </w:p>
    <w:p>
      <w:pPr>
        <w:pStyle w:val="0"/>
        <w:spacing w:before="200" w:lineRule="auto"/>
        <w:ind w:firstLine="540"/>
        <w:jc w:val="both"/>
      </w:pPr>
      <w:r>
        <w:rPr>
          <w:sz w:val="20"/>
        </w:rPr>
        <w:t xml:space="preserve">Кроме того, близость Тульской области к московскому региону и ее хорошая транспортная доступность создают благоприятную ситуацию для производителей товаров и услуг, ориентированных на огромные столичные рынки. В частности, московские туристы могут доехать до Тулы на скоростном поезде "Ласточка" всего за 2 с небольшим часа, а на автомобиле по трассе М-2 "Крым" до усадьбы Поленово - менее чем за 2 часа.</w:t>
      </w:r>
    </w:p>
    <w:p>
      <w:pPr>
        <w:pStyle w:val="0"/>
        <w:spacing w:before="200" w:lineRule="auto"/>
        <w:ind w:firstLine="540"/>
        <w:jc w:val="both"/>
      </w:pPr>
      <w:r>
        <w:rPr>
          <w:sz w:val="20"/>
        </w:rPr>
        <w:t xml:space="preserve">Дорожная сеть Тульской области характеризуется значительной протяженностью и разветвленностью. Суммарная длина автомобильных дорог общего пользования на территории региона составляет более 15 тыс. км.</w:t>
      </w:r>
    </w:p>
    <w:p>
      <w:pPr>
        <w:pStyle w:val="0"/>
        <w:spacing w:before="200" w:lineRule="auto"/>
        <w:ind w:firstLine="540"/>
        <w:jc w:val="both"/>
      </w:pPr>
      <w:r>
        <w:rPr>
          <w:sz w:val="20"/>
        </w:rPr>
        <w:t xml:space="preserve">За последние 10 лет отремонтировано порядка 4500 километров дорог в регионе.</w:t>
      </w:r>
    </w:p>
    <w:p>
      <w:pPr>
        <w:pStyle w:val="0"/>
        <w:spacing w:before="200" w:lineRule="auto"/>
        <w:ind w:firstLine="540"/>
        <w:jc w:val="both"/>
      </w:pPr>
      <w:r>
        <w:rPr>
          <w:sz w:val="20"/>
        </w:rPr>
        <w:t xml:space="preserve">В 2025 году доля региональных дорог, соответствующих установленным нормам, составила 52,2% (в 2019 году 46,4%), что свидетельствует о положительной динамике. К 2030 году планируется достичь 58%, а также обеспечить поддержание нормативного состояния автомобильных дорог Тульской городской агломерации на уровне 85%.</w:t>
      </w:r>
    </w:p>
    <w:p>
      <w:pPr>
        <w:pStyle w:val="0"/>
        <w:spacing w:before="200" w:lineRule="auto"/>
        <w:ind w:firstLine="540"/>
        <w:jc w:val="both"/>
      </w:pPr>
      <w:r>
        <w:rPr>
          <w:sz w:val="20"/>
        </w:rPr>
        <w:t xml:space="preserve">Ежегодно, в плановом порядке, приводятся работы по приведению в нормативное состояние не менее 5 мостовых сооружений.</w:t>
      </w:r>
    </w:p>
    <w:p>
      <w:pPr>
        <w:pStyle w:val="0"/>
        <w:spacing w:before="200" w:lineRule="auto"/>
        <w:ind w:firstLine="540"/>
        <w:jc w:val="both"/>
      </w:pPr>
      <w:r>
        <w:rPr>
          <w:sz w:val="20"/>
        </w:rPr>
        <w:t xml:space="preserve">Транспортная отрасль региона обеспечивает занятость более 4 500 специалистов, включая водителей, механиков, ремонтников, кондукторов, медицинский персонал, диспетчеров и контролеров.</w:t>
      </w:r>
    </w:p>
    <w:p>
      <w:pPr>
        <w:pStyle w:val="0"/>
        <w:spacing w:before="200" w:lineRule="auto"/>
        <w:ind w:firstLine="540"/>
        <w:jc w:val="both"/>
      </w:pPr>
      <w:r>
        <w:rPr>
          <w:sz w:val="20"/>
        </w:rPr>
        <w:t xml:space="preserve">В сфере пассажирских перевозок наблюдается устойчивый рост. В 2024 году общественный транспорт в Тульской области перевез более 99 млн. пассажиров (что на 13,5% больше, чем в 2023 году). Объем автомобильных грузоперевозок в течение последних 10 лет сохранялся на уровне 13 - 15 млн. тонн в год, при этом грузооборот вырос на 20 - 30%, что говорит об увеличении среднего плеча перевозки.</w:t>
      </w:r>
    </w:p>
    <w:p>
      <w:pPr>
        <w:pStyle w:val="0"/>
        <w:spacing w:before="200" w:lineRule="auto"/>
        <w:ind w:firstLine="540"/>
        <w:jc w:val="both"/>
      </w:pPr>
      <w:r>
        <w:rPr>
          <w:sz w:val="20"/>
        </w:rPr>
        <w:t xml:space="preserve">Проведена масштабная работа по обновлению подвижного состава общественного транспорта и развитию маршрутной сети. За 2023 - 2025 годы закуплено и обновлено 408 автобусов, 22 трамвая и 6 троллейбусов, работа в данном направлении будет продолжена.</w:t>
      </w:r>
    </w:p>
    <w:p>
      <w:pPr>
        <w:pStyle w:val="0"/>
        <w:spacing w:before="200" w:lineRule="auto"/>
        <w:ind w:firstLine="540"/>
        <w:jc w:val="both"/>
      </w:pPr>
      <w:r>
        <w:rPr>
          <w:sz w:val="20"/>
        </w:rPr>
        <w:t xml:space="preserve">Ежегодно маршрутная сеть Тульской области увеличивается с учетом потребностей населения. Только в 2024 году организованно 8 новых маршрутов, что позволило обеспечить транспортное сообщение в 6 населенных пунктах, где ранее оно отсутствовало. В настоящее время в регионе разрабатывается региональный стандарт транспортного обслуживания, который будет устанавливать перечень и целевые значения показателей, характеризующих доступность, безопасность и комфортность для населения при регулярных перевозках пассажиров и багажа автомобильным транспортом.</w:t>
      </w:r>
    </w:p>
    <w:p>
      <w:pPr>
        <w:pStyle w:val="0"/>
        <w:spacing w:before="200" w:lineRule="auto"/>
        <w:ind w:firstLine="540"/>
        <w:jc w:val="both"/>
      </w:pPr>
      <w:r>
        <w:rPr>
          <w:sz w:val="20"/>
        </w:rPr>
        <w:t xml:space="preserve">Значительный прогресс достигнут во внедрении интеллектуальных транспортных систем (далее - ИТС) и автоматического весогабаритного контроля (далее - АПВГК). ИТС реализуется в Тульской области с 2020 года, что позволило создать единую платформу управления транспортной системой, в рамках которой установлено 145 умных светофоров, 2 динамических информационных табло, 8 умных пешеходных переходов и 11 умных стационарных комплексов контроля парковочного пространства (работа по развитию продолжается). На сегодняшний день на региональных автомобильных дорогах осуществляет работу 13 АПВГК, помогающих обеспечивать контроль за сохранностью автомобильных дорог от сверхнормативных нагрузок, в том числе в период весенних ограничений.</w:t>
      </w:r>
    </w:p>
    <w:p>
      <w:pPr>
        <w:pStyle w:val="0"/>
        <w:spacing w:before="200" w:lineRule="auto"/>
        <w:ind w:firstLine="540"/>
        <w:jc w:val="both"/>
      </w:pPr>
      <w:r>
        <w:rPr>
          <w:sz w:val="20"/>
        </w:rPr>
        <w:t xml:space="preserve">Одним из наиболее важных достижений стала успешная реализация национального проекта "Безопасные качественные дороги". По итогам 2024 года Тульская область заняла первое место в Российской Федерации по темпам снижения количества погибших на автомобильных дорогах. Так, за период 2015 - 2024 годы число погибших на автомобильных дорогах региона сократилось более чем в 2 раза (с 366 до 162), несмотря на средний ежегодный прирост числа транспортных средств на 10 тыс. ед. 2024 год показал снижение по всем основным показателям аварийности: общее число дорожно-транспортных происшествий, количество пострадавших и погибших сократилось на 2,6%, 3,7% и 22,9% соответственно. Такой результат стал возможен благодаря налаженному взаимодействию различных региональных министерств и ведомств, а также работающей в регионе системы фото-видео-фиксации административных нарушений, состоящей из 274 различных комплексов.</w:t>
      </w:r>
    </w:p>
    <w:p>
      <w:pPr>
        <w:pStyle w:val="0"/>
        <w:spacing w:before="200" w:lineRule="auto"/>
        <w:ind w:firstLine="540"/>
        <w:jc w:val="both"/>
      </w:pPr>
      <w:r>
        <w:rPr>
          <w:sz w:val="20"/>
        </w:rPr>
        <w:t xml:space="preserve">Стратегическая цель дорожно-транспортного комплекса Тульской области - создание современной, безопасной, интегрированной и эффективной транспортной системы, которая полностью удовлетворяет потребности населения и экономики региона, а также укрепляет его позиции как важного транспортного узла Центральной России.</w:t>
      </w:r>
    </w:p>
    <w:p>
      <w:pPr>
        <w:pStyle w:val="0"/>
        <w:spacing w:before="200" w:lineRule="auto"/>
        <w:ind w:firstLine="540"/>
        <w:jc w:val="both"/>
      </w:pPr>
      <w:r>
        <w:rPr>
          <w:sz w:val="20"/>
        </w:rPr>
        <w:t xml:space="preserve">Для достижения поставленной цели в Тульской области будут решены следующие основные задачи:</w:t>
      </w:r>
    </w:p>
    <w:p>
      <w:pPr>
        <w:pStyle w:val="0"/>
        <w:spacing w:before="200" w:lineRule="auto"/>
        <w:ind w:firstLine="540"/>
        <w:jc w:val="both"/>
      </w:pPr>
      <w:r>
        <w:rPr>
          <w:sz w:val="20"/>
        </w:rPr>
        <w:t xml:space="preserve">увеличение доли дорог, соответствующих нормативным требованиям, с минимизацией дефектов покрытия и полноценным обеспечением безопасности дорожного движения. Ожидается дальнейшее снижение аварийности и смертности на автомобильных дорогах, что обеспечит высокий уровень комфорта и безопасности для всех участников дорожного движения;</w:t>
      </w:r>
    </w:p>
    <w:p>
      <w:pPr>
        <w:pStyle w:val="0"/>
        <w:spacing w:before="200" w:lineRule="auto"/>
        <w:ind w:firstLine="540"/>
        <w:jc w:val="both"/>
      </w:pPr>
      <w:r>
        <w:rPr>
          <w:sz w:val="20"/>
        </w:rPr>
        <w:t xml:space="preserve">оптимизация и повышение эффективности работы общественного транспорта. Будет создана современная, удобная и экономически эффективная система общественного транспорта, полностью отвечающая потребностям населения. Формирование оптимальной маршрутной сети и обновления подвижного состава. Расширение взаимодействия и контроля за работой перевозчиков через Региональную навигационно-информационную систему Тульской области;</w:t>
      </w:r>
    </w:p>
    <w:p>
      <w:pPr>
        <w:pStyle w:val="0"/>
        <w:spacing w:before="200" w:lineRule="auto"/>
        <w:ind w:firstLine="540"/>
        <w:jc w:val="both"/>
      </w:pPr>
      <w:r>
        <w:rPr>
          <w:sz w:val="20"/>
        </w:rPr>
        <w:t xml:space="preserve">снижение транспортной нагрузки и улучшение экологической ситуации. Пропускная способность улично-дорожной сети, особенно в Тульской городской агломерации, значительно увеличится за счет дальнейшего развития и внедрения элементов региональной информационной системы "Интеллектуальная транспортная система Тульской городской агломерации", оптимизации транспортных потоков и условий движения транспортных средств, снижения вредного воздействия транспортного комплекса на экосистему. Внедрение экологически чистого общественного транспорта (электробусы, трамваи, троллейбусы) будет способствовать значительному улучшению экологической обстановки и качества воздуха в населенных пунктах;</w:t>
      </w:r>
    </w:p>
    <w:p>
      <w:pPr>
        <w:pStyle w:val="0"/>
        <w:spacing w:before="200" w:lineRule="auto"/>
        <w:ind w:firstLine="540"/>
        <w:jc w:val="both"/>
      </w:pPr>
      <w:r>
        <w:rPr>
          <w:sz w:val="20"/>
        </w:rPr>
        <w:t xml:space="preserve">укрепление транзитного потенциала региона и повышение туристской привлекательности. Дальнейшее развитие магистральной транспортной инфраструктуры федеральными компаниями (Открытое акционерное общество "Российские железные дороги", Федеральное дорожное агентство) на территории Тульской области и увеличение масштаба транзитных перевозок позволят региону получить свою долю косвенных экономических эффектов в виде доходов от дополнительных заправок, ночлегов и продаж местной продукции, сокращения транспортных издержек тульских предприятий, новых налоговых отчислений в местные бюджеты и другое;</w:t>
      </w:r>
    </w:p>
    <w:p>
      <w:pPr>
        <w:pStyle w:val="0"/>
        <w:spacing w:before="200" w:lineRule="auto"/>
        <w:ind w:firstLine="540"/>
        <w:jc w:val="both"/>
      </w:pPr>
      <w:r>
        <w:rPr>
          <w:sz w:val="20"/>
        </w:rPr>
        <w:t xml:space="preserve">развитие локальной транспортной инфраструктуры, включая специализированные туристские маршруты и удобные подъезды к достопримечательностям, будет способствовать дальнейшему росту туристического потока, делая регион еще более привлекательным и доступным для гостей.</w:t>
      </w:r>
    </w:p>
    <w:p>
      <w:pPr>
        <w:pStyle w:val="0"/>
        <w:spacing w:before="200" w:lineRule="auto"/>
        <w:ind w:firstLine="540"/>
        <w:jc w:val="both"/>
      </w:pPr>
      <w:r>
        <w:rPr>
          <w:sz w:val="20"/>
        </w:rPr>
        <w:t xml:space="preserve">Реализовать поставленные задачи по развитию транспортной отрасли планируется за счет выполнения ключевых мероприятий.</w:t>
      </w:r>
    </w:p>
    <w:p>
      <w:pPr>
        <w:pStyle w:val="0"/>
        <w:spacing w:before="200" w:lineRule="auto"/>
        <w:ind w:firstLine="540"/>
        <w:jc w:val="both"/>
      </w:pPr>
      <w:r>
        <w:rPr>
          <w:sz w:val="20"/>
        </w:rPr>
        <w:t xml:space="preserve">Основу обязательных мероприятий составляет продолжение реализации национального проекта "Безопасные качественные дороги" в виде нового национального проекта - "Инфраструктура для жизни". В рамках проекта будут продолжены работы по ремонту автомобильных дорог регионального и местного значения. Только за 2025 год выполнены ремонтные работы на 40 автомобильных дорогах общей протяженностью 126 км.</w:t>
      </w:r>
    </w:p>
    <w:p>
      <w:pPr>
        <w:pStyle w:val="0"/>
        <w:spacing w:before="200" w:lineRule="auto"/>
        <w:ind w:firstLine="540"/>
        <w:jc w:val="both"/>
      </w:pPr>
      <w:r>
        <w:rPr>
          <w:sz w:val="20"/>
        </w:rPr>
        <w:t xml:space="preserve">Важным направлением является дальнейшее поэтапное внедрение ИТС в Тульской городской агломерации.</w:t>
      </w:r>
    </w:p>
    <w:p>
      <w:pPr>
        <w:pStyle w:val="0"/>
        <w:spacing w:before="200" w:lineRule="auto"/>
        <w:ind w:firstLine="540"/>
        <w:jc w:val="both"/>
      </w:pPr>
      <w:r>
        <w:rPr>
          <w:sz w:val="20"/>
        </w:rPr>
        <w:t xml:space="preserve">Также будут продолжены программы по обновлению подвижного состава общественного транспорта.</w:t>
      </w:r>
    </w:p>
    <w:p>
      <w:pPr>
        <w:pStyle w:val="0"/>
        <w:spacing w:before="200" w:lineRule="auto"/>
        <w:ind w:firstLine="540"/>
        <w:jc w:val="both"/>
      </w:pPr>
      <w:r>
        <w:rPr>
          <w:sz w:val="20"/>
        </w:rPr>
        <w:t xml:space="preserve">Ключевым обязательным мероприятием является разработка и утверждение Регионального стандарта транспортного обслуживания населения. Работа включает в себя формирование перспективной сети маршрутов регулярных перевозок и оптимизацию существующей сети с учетом потребностей населения и необходимости доезда до социально значимых объектов. Стандарт призван систематизировать и повысить качество услуг, обеспечивая баланс между социальной доступностью и экономической эффективностью.</w:t>
      </w:r>
    </w:p>
    <w:p>
      <w:pPr>
        <w:pStyle w:val="0"/>
        <w:spacing w:before="200" w:lineRule="auto"/>
        <w:ind w:firstLine="540"/>
        <w:jc w:val="both"/>
      </w:pPr>
      <w:r>
        <w:rPr>
          <w:sz w:val="20"/>
        </w:rPr>
        <w:t xml:space="preserve">Перечень региональных инвестиционных проектов в дорожно-транспортном комплексе включает следующие проекты:</w:t>
      </w:r>
    </w:p>
    <w:p>
      <w:pPr>
        <w:pStyle w:val="0"/>
        <w:spacing w:before="200" w:lineRule="auto"/>
        <w:ind w:firstLine="540"/>
        <w:jc w:val="both"/>
      </w:pPr>
      <w:r>
        <w:rPr>
          <w:sz w:val="20"/>
        </w:rPr>
        <w:t xml:space="preserve">строительство дорожной-инфраструктуры особой экономической зоны промышленно-производственного типа "Узловая";</w:t>
      </w:r>
    </w:p>
    <w:p>
      <w:pPr>
        <w:pStyle w:val="0"/>
        <w:spacing w:before="200" w:lineRule="auto"/>
        <w:ind w:firstLine="540"/>
        <w:jc w:val="both"/>
      </w:pPr>
      <w:r>
        <w:rPr>
          <w:sz w:val="20"/>
        </w:rPr>
        <w:t xml:space="preserve">реконструкция автомобильной дороги Тула - Новомосковск I этап км 6+554 - км 12+250 в МО город Тула Тульской области;</w:t>
      </w:r>
    </w:p>
    <w:p>
      <w:pPr>
        <w:pStyle w:val="0"/>
        <w:spacing w:before="200" w:lineRule="auto"/>
        <w:ind w:firstLine="540"/>
        <w:jc w:val="both"/>
      </w:pPr>
      <w:r>
        <w:rPr>
          <w:sz w:val="20"/>
        </w:rPr>
        <w:t xml:space="preserve">строительство III пускового комплекса Восточного обхода в муниципальном образовании город Тула;</w:t>
      </w:r>
    </w:p>
    <w:p>
      <w:pPr>
        <w:pStyle w:val="0"/>
        <w:spacing w:before="200" w:lineRule="auto"/>
        <w:ind w:firstLine="540"/>
        <w:jc w:val="both"/>
      </w:pPr>
      <w:r>
        <w:rPr>
          <w:sz w:val="20"/>
        </w:rPr>
        <w:t xml:space="preserve">строительство автомобильной дороги с реконструкцией части Калужского шоссе в районе жилого комплекса "Новая Тула".</w:t>
      </w:r>
    </w:p>
    <w:p>
      <w:pPr>
        <w:pStyle w:val="0"/>
        <w:spacing w:before="200" w:lineRule="auto"/>
        <w:ind w:firstLine="540"/>
        <w:jc w:val="both"/>
      </w:pPr>
      <w:r>
        <w:rPr>
          <w:sz w:val="20"/>
        </w:rPr>
        <w:t xml:space="preserve">Помимо запланированных на ближайшие три года мероприятий, для достижения амбициозных целей развития дорожно-транспортного комплекса Тульской области до 2036 года предлагается рассмотреть ряд дополнительных проектов. Инициативы, основанные на предложениях исполнительных органов Тульской области, общественных организаций и экспертов, призваны обеспечить более высокий уровень комфорта, эффективности и устойчивости транспортной системы.</w:t>
      </w:r>
    </w:p>
    <w:p>
      <w:pPr>
        <w:pStyle w:val="0"/>
        <w:spacing w:before="200" w:lineRule="auto"/>
        <w:ind w:firstLine="540"/>
        <w:jc w:val="both"/>
      </w:pPr>
      <w:r>
        <w:rPr>
          <w:sz w:val="20"/>
        </w:rPr>
        <w:t xml:space="preserve">Планируется дальнейшая цифровизация транспортной отрасли:</w:t>
      </w:r>
    </w:p>
    <w:p>
      <w:pPr>
        <w:pStyle w:val="0"/>
        <w:spacing w:before="200" w:lineRule="auto"/>
        <w:ind w:firstLine="540"/>
        <w:jc w:val="both"/>
      </w:pPr>
      <w:r>
        <w:rPr>
          <w:sz w:val="20"/>
        </w:rPr>
        <w:t xml:space="preserve">"Умные" остановки и хабы. Расширение сети "умных" остановок общественного транспорта с бесплатным Wi-Fi, интерактивными информационными табло с расписанием в реальном времени, USB-зарядками и кнопками экстренной связи;</w:t>
      </w:r>
    </w:p>
    <w:p>
      <w:pPr>
        <w:pStyle w:val="0"/>
        <w:spacing w:before="200" w:lineRule="auto"/>
        <w:ind w:firstLine="540"/>
        <w:jc w:val="both"/>
      </w:pPr>
      <w:r>
        <w:rPr>
          <w:sz w:val="20"/>
        </w:rPr>
        <w:t xml:space="preserve">биометрическая оплата. Внедрение и популяризация биометрической оплаты проезда на всех видах общественного транспорта.</w:t>
      </w:r>
    </w:p>
    <w:p>
      <w:pPr>
        <w:pStyle w:val="0"/>
        <w:spacing w:before="200" w:lineRule="auto"/>
        <w:ind w:firstLine="540"/>
        <w:jc w:val="both"/>
      </w:pPr>
      <w:r>
        <w:rPr>
          <w:sz w:val="20"/>
        </w:rPr>
        <w:t xml:space="preserve">В планах развитие мультимодальных перевозок и логистических хабов:</w:t>
      </w:r>
    </w:p>
    <w:p>
      <w:pPr>
        <w:pStyle w:val="0"/>
        <w:spacing w:before="200" w:lineRule="auto"/>
        <w:ind w:firstLine="540"/>
        <w:jc w:val="both"/>
      </w:pPr>
      <w:r>
        <w:rPr>
          <w:sz w:val="20"/>
        </w:rPr>
        <w:t xml:space="preserve">создание регионального логистического центра. Использование выгодного географического положения Тульской области для создания крупного мультимодального логистического центра на пересечении федеральных трасс (М-2 "Крым", М-4 "Дон") и железнодорожных путей;</w:t>
      </w:r>
    </w:p>
    <w:p>
      <w:pPr>
        <w:pStyle w:val="0"/>
        <w:spacing w:before="200" w:lineRule="auto"/>
        <w:ind w:firstLine="540"/>
        <w:jc w:val="both"/>
      </w:pPr>
      <w:r>
        <w:rPr>
          <w:sz w:val="20"/>
        </w:rPr>
        <w:t xml:space="preserve">интеграция пассажирских перевозок. Развитие современных пересадочных узлов, объединяющих железнодорожный, междугородний автобусный и городской общественный транспорт.</w:t>
      </w:r>
    </w:p>
    <w:p>
      <w:pPr>
        <w:pStyle w:val="0"/>
        <w:spacing w:before="200" w:lineRule="auto"/>
        <w:ind w:firstLine="540"/>
        <w:jc w:val="both"/>
      </w:pPr>
      <w:r>
        <w:rPr>
          <w:sz w:val="20"/>
        </w:rPr>
        <w:t xml:space="preserve">Впереди реализация проектов по развитию транспортной инфраструктуры для туризма:</w:t>
      </w:r>
    </w:p>
    <w:p>
      <w:pPr>
        <w:pStyle w:val="0"/>
        <w:spacing w:before="200" w:lineRule="auto"/>
        <w:ind w:firstLine="540"/>
        <w:jc w:val="both"/>
      </w:pPr>
      <w:r>
        <w:rPr>
          <w:sz w:val="20"/>
        </w:rPr>
        <w:t xml:space="preserve">"Тульская сокровищница: от Поленова до Куликова поля". Разработка и активное продвижение специализированных туристских железнодорожных и автобусных маршрутов, связывающих ключевые достопримечательности региона, такие как музей-усадьба "Ясная Поляна", музей-заповедник "Куликово поле", музей-усадьба "Поленово", Богородицкий дворец-музей и озера в Кондуках. Предпринимаемые меры позволят создать комплексные туристские продукты и повысить привлекательность региона;</w:t>
      </w:r>
    </w:p>
    <w:p>
      <w:pPr>
        <w:pStyle w:val="0"/>
        <w:spacing w:before="200" w:lineRule="auto"/>
        <w:ind w:firstLine="540"/>
        <w:jc w:val="both"/>
      </w:pPr>
      <w:r>
        <w:rPr>
          <w:sz w:val="20"/>
        </w:rPr>
        <w:t xml:space="preserve">инфраструктура для туристского транспорта. Создание достаточного количества современных парковочных мест для туристических автобусов и легковых автомобилей вблизи объектов притяжения. Развитие сети зарядных станций для электромобилей на туристических маршрутах и в городах, что соответствует мировым трендам экологичного туризма;</w:t>
      </w:r>
    </w:p>
    <w:p>
      <w:pPr>
        <w:pStyle w:val="0"/>
        <w:spacing w:before="200" w:lineRule="auto"/>
        <w:ind w:firstLine="540"/>
        <w:jc w:val="both"/>
      </w:pPr>
      <w:r>
        <w:rPr>
          <w:sz w:val="20"/>
        </w:rPr>
        <w:t xml:space="preserve">улучшение "последней мили". Развитие транспортной доступности от крупных транспортных узлов (железнодорожных вокзалов, автостанций) до туристических объектов. Указанное может включать организацию специальных шаттлов, разработку удобных и понятных маршрутов общественного транспорта (например, маршрутное такси N 114 до Ясной Поляны), а также создание пешеходных зон и навигации.</w:t>
      </w:r>
    </w:p>
    <w:p>
      <w:pPr>
        <w:pStyle w:val="0"/>
        <w:spacing w:before="200" w:lineRule="auto"/>
        <w:ind w:firstLine="540"/>
        <w:jc w:val="both"/>
      </w:pPr>
      <w:r>
        <w:rPr>
          <w:sz w:val="20"/>
        </w:rPr>
        <w:t xml:space="preserve">Планируется внедрение экологически чистого транспорта:</w:t>
      </w:r>
    </w:p>
    <w:p>
      <w:pPr>
        <w:pStyle w:val="0"/>
        <w:spacing w:before="200" w:lineRule="auto"/>
        <w:ind w:firstLine="540"/>
        <w:jc w:val="both"/>
      </w:pPr>
      <w:r>
        <w:rPr>
          <w:sz w:val="20"/>
        </w:rPr>
        <w:t xml:space="preserve">расширение парка трамваев. Поэтапная замена дизельных автобусов на современные электробусы, а также дальнейшее обновление трамвайного парка, как уже началось с поставкой новых трамваев и троллейбусов, что позволит значительно снизить уровень шума и загрязнения воздуха в городах;</w:t>
      </w:r>
    </w:p>
    <w:p>
      <w:pPr>
        <w:pStyle w:val="0"/>
        <w:spacing w:before="200" w:lineRule="auto"/>
        <w:ind w:firstLine="540"/>
        <w:jc w:val="both"/>
      </w:pPr>
      <w:r>
        <w:rPr>
          <w:sz w:val="20"/>
        </w:rPr>
        <w:t xml:space="preserve">развитие зарядной инфраструктуры. Создание необходимой зарядной и обслуживающей инфраструктуры для электротранспорта по всей области, включая станции быстрой зарядки на ключевых маршрутах и в депо.</w:t>
      </w:r>
    </w:p>
    <w:p>
      <w:pPr>
        <w:pStyle w:val="0"/>
        <w:spacing w:before="200" w:lineRule="auto"/>
        <w:ind w:firstLine="540"/>
        <w:jc w:val="both"/>
      </w:pPr>
      <w:r>
        <w:rPr>
          <w:sz w:val="20"/>
        </w:rPr>
        <w:t xml:space="preserve">В рамках развития инфраструктуры для индивидуальных средств мобильности запланированы:</w:t>
      </w:r>
    </w:p>
    <w:p>
      <w:pPr>
        <w:pStyle w:val="0"/>
        <w:spacing w:before="200" w:lineRule="auto"/>
        <w:ind w:firstLine="540"/>
        <w:jc w:val="both"/>
      </w:pPr>
      <w:r>
        <w:rPr>
          <w:sz w:val="20"/>
        </w:rPr>
        <w:t xml:space="preserve">сеть велодорожек. Разработка и создание интегрированной сети велодорожек в городах и между ключевыми населенными пунктами/туристическими объектами (например, веломаршрут "Лев Толстой") для стимулирования экологичного транспорта, активного образа жизни и повышения безопасности велосипедистов;</w:t>
      </w:r>
    </w:p>
    <w:p>
      <w:pPr>
        <w:pStyle w:val="0"/>
        <w:spacing w:before="200" w:lineRule="auto"/>
        <w:ind w:firstLine="540"/>
        <w:jc w:val="both"/>
      </w:pPr>
      <w:r>
        <w:rPr>
          <w:sz w:val="20"/>
        </w:rPr>
        <w:t xml:space="preserve">инфраструктура для самокатов и других средств индивидуальной мобильности. Создание безопасных условий для использования электросамокатов и других средств индивидуальной мобильности, включая выделенные полосы, специализированные парковки и пункты проката.</w:t>
      </w:r>
    </w:p>
    <w:p>
      <w:pPr>
        <w:pStyle w:val="0"/>
        <w:spacing w:before="200" w:lineRule="auto"/>
        <w:ind w:firstLine="540"/>
        <w:jc w:val="both"/>
      </w:pPr>
      <w:r>
        <w:rPr>
          <w:sz w:val="20"/>
        </w:rPr>
        <w:t xml:space="preserve">Следующие проекты регионального значения являются важными для достижения поставленных целей:</w:t>
      </w:r>
    </w:p>
    <w:p>
      <w:pPr>
        <w:pStyle w:val="0"/>
        <w:spacing w:before="200" w:lineRule="auto"/>
        <w:ind w:firstLine="540"/>
        <w:jc w:val="both"/>
      </w:pPr>
      <w:r>
        <w:rPr>
          <w:sz w:val="20"/>
        </w:rPr>
        <w:t xml:space="preserve">строительство дорожной инфраструктуры ОЭЗ "Узловая" (2026 - 2029 годы), стоимость 1,9 млрд. рублей;</w:t>
      </w:r>
    </w:p>
    <w:p>
      <w:pPr>
        <w:pStyle w:val="0"/>
        <w:spacing w:before="200" w:lineRule="auto"/>
        <w:ind w:firstLine="540"/>
        <w:jc w:val="both"/>
      </w:pPr>
      <w:r>
        <w:rPr>
          <w:sz w:val="20"/>
        </w:rPr>
        <w:t xml:space="preserve">реконструкция автомобильной дороги Тула - Новомосковск I этап км 6+554 - км 12+250 в МО, стоимость 7,3 млрд. рублей;</w:t>
      </w:r>
    </w:p>
    <w:p>
      <w:pPr>
        <w:pStyle w:val="0"/>
        <w:spacing w:before="200" w:lineRule="auto"/>
        <w:ind w:firstLine="540"/>
        <w:jc w:val="both"/>
      </w:pPr>
      <w:r>
        <w:rPr>
          <w:sz w:val="20"/>
        </w:rPr>
        <w:t xml:space="preserve">строительство III пускового комплекса Восточного обхода в муниципальном образовании город Тула, стоимость 9,6 млрд. рублей;</w:t>
      </w:r>
    </w:p>
    <w:p>
      <w:pPr>
        <w:pStyle w:val="0"/>
        <w:spacing w:before="200" w:lineRule="auto"/>
        <w:ind w:firstLine="540"/>
        <w:jc w:val="both"/>
      </w:pPr>
      <w:r>
        <w:rPr>
          <w:sz w:val="20"/>
        </w:rPr>
        <w:t xml:space="preserve">строительство автодороги с реконструкцией части Калужского шоссе в районе жилого комплекса "Новая Тула", ориентировочная стоимость 13,2 млрд. рублей.</w:t>
      </w:r>
    </w:p>
    <w:p>
      <w:pPr>
        <w:pStyle w:val="0"/>
        <w:spacing w:before="200" w:lineRule="auto"/>
        <w:ind w:firstLine="540"/>
        <w:jc w:val="both"/>
      </w:pPr>
      <w:r>
        <w:rPr>
          <w:sz w:val="20"/>
        </w:rPr>
        <w:t xml:space="preserve">Особое место в долгосрочной перспективе занимают проекты развития железнодорожной инфраструктуры федерального значения, которые будут локализовано реализовываться в том числе на территории Тульской области.</w:t>
      </w:r>
    </w:p>
    <w:p>
      <w:pPr>
        <w:pStyle w:val="0"/>
        <w:spacing w:before="200" w:lineRule="auto"/>
        <w:ind w:firstLine="540"/>
        <w:jc w:val="both"/>
      </w:pPr>
      <w:r>
        <w:rPr>
          <w:sz w:val="20"/>
        </w:rPr>
        <w:t xml:space="preserve">Так, в инвестиционной программе открытого акционерного общества "Российские железные дороги" предусмотрена реконструкция с электрификацией линии Ожерелье - Узловая - Елец. Ев реализация повлечет значительные инвестиции на территории области, создание новых рабочих мест, улучшение транспортной доступности восточной части Тульско-Новомосковской агломерации.</w:t>
      </w:r>
    </w:p>
    <w:p>
      <w:pPr>
        <w:pStyle w:val="0"/>
        <w:spacing w:before="200" w:lineRule="auto"/>
        <w:ind w:firstLine="540"/>
        <w:jc w:val="both"/>
      </w:pPr>
      <w:r>
        <w:rPr>
          <w:sz w:val="20"/>
        </w:rPr>
        <w:t xml:space="preserve">В рамках развития Центрального транспортного узла (далее - ЦТУ) планируется продлить московские центральные диаметры до Тулы, интегрируя регион в единую систему тактового движения и улучшая связи с Москвой и соседними центрами ЦФО. Направления Московских центральных диаметров будут доведены до Тулы с горизонтом реализации до 2030 года. Сегодня между Москвой и Тулой минимальное время в пути на "Ласточке" - чуть более 2 часов, что создает прочную основу для ускоренной интеграции. Запланированы модернизация узлов и строительство новых платформ на Курском направлении, включая Тулу-1, что повысит пропускную способность и комфорт. Концепция ЦТУ предполагает регулярный такт каждый час на межрегиональных плечах, что повысит предсказуемость поездок и доступность рынка труда.</w:t>
      </w:r>
    </w:p>
    <w:p>
      <w:pPr>
        <w:pStyle w:val="0"/>
      </w:pPr>
      <w:r>
        <w:rPr>
          <w:sz w:val="20"/>
        </w:rPr>
      </w:r>
    </w:p>
    <w:p>
      <w:pPr>
        <w:pStyle w:val="2"/>
        <w:outlineLvl w:val="1"/>
        <w:jc w:val="center"/>
      </w:pPr>
      <w:r>
        <w:rPr>
          <w:sz w:val="20"/>
        </w:rPr>
        <w:t xml:space="preserve">15. Кадровое обеспечение социально-экономического развития</w:t>
      </w:r>
    </w:p>
    <w:p>
      <w:pPr>
        <w:pStyle w:val="2"/>
        <w:jc w:val="center"/>
      </w:pPr>
      <w:r>
        <w:rPr>
          <w:sz w:val="20"/>
        </w:rPr>
        <w:t xml:space="preserve">Тульской области</w:t>
      </w:r>
    </w:p>
    <w:p>
      <w:pPr>
        <w:pStyle w:val="0"/>
      </w:pPr>
      <w:r>
        <w:rPr>
          <w:sz w:val="20"/>
        </w:rPr>
      </w:r>
    </w:p>
    <w:p>
      <w:pPr>
        <w:pStyle w:val="0"/>
        <w:ind w:firstLine="540"/>
        <w:jc w:val="both"/>
      </w:pPr>
      <w:r>
        <w:rPr>
          <w:sz w:val="20"/>
        </w:rPr>
        <w:t xml:space="preserve">Численность трудоспособного населения в трудоспособном возрасте будет сокращаться в период с 2024 по 2030 год, а затем начнется рост. Численность трудоспособного населения в трудоспособном возрасте в консервативном варианте прогноза к 2030 году сократится на 4,9 тыс. человек, или на 0,6%, а к 2036 году увеличится и составит 754,5 тыс. человек. Базовый вариант прогноза предполагает несколько более умеренные темпы сокращения численности населения в трудоспособном возрасте - на 0,1% к 2030 году и рост на 0,8% к 2036 году.</w:t>
      </w:r>
    </w:p>
    <w:p>
      <w:pPr>
        <w:pStyle w:val="0"/>
        <w:spacing w:before="200" w:lineRule="auto"/>
        <w:ind w:firstLine="540"/>
        <w:jc w:val="both"/>
      </w:pPr>
      <w:r>
        <w:rPr>
          <w:sz w:val="20"/>
        </w:rPr>
        <w:t xml:space="preserve">Таким образом, основной источник формирования трудовых ресурсов области в период до 2030 года постепенно сокращается. Сокращение будет частично компенсироваться за счет увеличения численности работающих за пределами трудоспособного возраста, прежде всего работающих пенсионеров, а также за счет более активного привлечения в сферу занятости подростков. Значимым источником формирования трудовых ресурсов будут оставаться иностранные работники, которые уже в 2024 году составляли около 6% от численности занятого населения. Кроме того, дефицит кадров в экономике области будет смягчаться низким уровнем безработицы - 1,75 - 1,69% в зависимости от варианта прогноза.</w:t>
      </w:r>
    </w:p>
    <w:p>
      <w:pPr>
        <w:pStyle w:val="0"/>
        <w:spacing w:before="200" w:lineRule="auto"/>
        <w:ind w:firstLine="540"/>
        <w:jc w:val="both"/>
      </w:pPr>
      <w:r>
        <w:rPr>
          <w:sz w:val="20"/>
        </w:rPr>
        <w:t xml:space="preserve">В целом численность трудовых ресурсов Тульской области в соответствии с консервативным прогнозом сократится к 2030 году на 3,5%, к 2036 году - на 7,6%. В базовом варианте прогноза на фоне несколько более благоприятных демографических тенденций численность трудовых ресурсов к 2030 году уменьшится на 2,5%, к 2036 году - на 1,6% и составит около 864,6 тыс. человек.</w:t>
      </w:r>
    </w:p>
    <w:p>
      <w:pPr>
        <w:pStyle w:val="0"/>
        <w:spacing w:before="200" w:lineRule="auto"/>
        <w:ind w:firstLine="540"/>
        <w:jc w:val="both"/>
      </w:pPr>
      <w:r>
        <w:rPr>
          <w:sz w:val="20"/>
        </w:rPr>
        <w:t xml:space="preserve">Прогноз кадровой потребности в разрезе видов экономической деятельности показывает, что по таким видам деятельности как "Обрабатывающие производства", "Строительство", "Деятельность гостиниц и предприятий общественного питания", "Деятельность в области здравоохранения и социальных услуг", "Предоставление прочих видов услуг", "Деятельность профессиональная, научная и техническая" будет наблюдаться рост численности занятого населения. Кадровая потребность в ряде других видов экономической деятельности снизится. Снижение занятости будет наблюдаться в таких видах экономической деятельности как "Торговля оптовая и розничная", "Обеспечение электроэнергией, газом и паром", "Водоснабжение; водоотведение, организация сбора и утилизации отходов, деятельность по ликвидации загрязнений", "Деятельность финансовая и страховая", "Сельское хозяйство".</w:t>
      </w:r>
    </w:p>
    <w:p>
      <w:pPr>
        <w:pStyle w:val="0"/>
        <w:spacing w:before="200" w:lineRule="auto"/>
        <w:ind w:firstLine="540"/>
        <w:jc w:val="both"/>
      </w:pPr>
      <w:r>
        <w:rPr>
          <w:sz w:val="20"/>
        </w:rPr>
        <w:t xml:space="preserve">Иностранная рабочая сила будет присутствовать главным образом в обрабатывающих производствах и строительстве.</w:t>
      </w:r>
    </w:p>
    <w:p>
      <w:pPr>
        <w:pStyle w:val="0"/>
        <w:spacing w:before="200" w:lineRule="auto"/>
        <w:ind w:firstLine="540"/>
        <w:jc w:val="both"/>
      </w:pPr>
      <w:r>
        <w:rPr>
          <w:sz w:val="20"/>
        </w:rPr>
        <w:t xml:space="preserve">Наиболее востребованными профессиями в экономике Тульской области в период до 2036 года будут врачи и средний медицинский персонал, технологи, инженеры, техники, аналитики данных.</w:t>
      </w:r>
    </w:p>
    <w:p>
      <w:pPr>
        <w:pStyle w:val="0"/>
      </w:pPr>
      <w:r>
        <w:rPr>
          <w:sz w:val="20"/>
        </w:rPr>
      </w:r>
    </w:p>
    <w:p>
      <w:pPr>
        <w:pStyle w:val="2"/>
        <w:outlineLvl w:val="2"/>
        <w:jc w:val="center"/>
      </w:pPr>
      <w:r>
        <w:rPr>
          <w:sz w:val="20"/>
        </w:rPr>
        <w:t xml:space="preserve">Обеспечение Тульской области трудовыми ресурсами</w:t>
      </w:r>
    </w:p>
    <w:p>
      <w:pPr>
        <w:pStyle w:val="2"/>
        <w:jc w:val="center"/>
      </w:pPr>
      <w:r>
        <w:rPr>
          <w:sz w:val="20"/>
        </w:rPr>
        <w:t xml:space="preserve">в прогнозный период</w:t>
      </w:r>
    </w:p>
    <w:p>
      <w:pPr>
        <w:pStyle w:val="0"/>
      </w:pPr>
      <w:r>
        <w:rPr>
          <w:sz w:val="20"/>
        </w:rPr>
      </w:r>
    </w:p>
    <w:p>
      <w:pPr>
        <w:pStyle w:val="0"/>
        <w:outlineLvl w:val="3"/>
        <w:jc w:val="right"/>
      </w:pPr>
      <w:r>
        <w:rPr>
          <w:sz w:val="20"/>
        </w:rPr>
        <w:t xml:space="preserve">Таблица 5</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757"/>
        <w:gridCol w:w="964"/>
        <w:gridCol w:w="907"/>
        <w:gridCol w:w="961"/>
        <w:gridCol w:w="850"/>
        <w:gridCol w:w="957"/>
        <w:gridCol w:w="1002"/>
        <w:gridCol w:w="815"/>
        <w:gridCol w:w="835"/>
      </w:tblGrid>
      <w:tr>
        <w:tc>
          <w:tcPr>
            <w:tcW w:w="1757" w:type="dxa"/>
            <w:vMerge w:val="restart"/>
          </w:tcPr>
          <w:p>
            <w:pPr>
              <w:pStyle w:val="0"/>
              <w:jc w:val="center"/>
            </w:pPr>
            <w:r>
              <w:rPr>
                <w:sz w:val="20"/>
              </w:rPr>
              <w:t xml:space="preserve">Виды экономической деятельности</w:t>
            </w:r>
          </w:p>
        </w:tc>
        <w:tc>
          <w:tcPr>
            <w:tcW w:w="964" w:type="dxa"/>
          </w:tcPr>
          <w:p>
            <w:pPr>
              <w:pStyle w:val="0"/>
              <w:jc w:val="center"/>
            </w:pPr>
            <w:r>
              <w:rPr>
                <w:sz w:val="20"/>
              </w:rPr>
              <w:t xml:space="preserve">2024</w:t>
            </w:r>
          </w:p>
        </w:tc>
        <w:tc>
          <w:tcPr>
            <w:tcW w:w="907" w:type="dxa"/>
          </w:tcPr>
          <w:p>
            <w:pPr>
              <w:pStyle w:val="0"/>
              <w:jc w:val="center"/>
            </w:pPr>
            <w:r>
              <w:rPr>
                <w:sz w:val="20"/>
              </w:rPr>
              <w:t xml:space="preserve">2025</w:t>
            </w:r>
          </w:p>
        </w:tc>
        <w:tc>
          <w:tcPr>
            <w:tcW w:w="961" w:type="dxa"/>
          </w:tcPr>
          <w:p>
            <w:pPr>
              <w:pStyle w:val="0"/>
              <w:jc w:val="center"/>
            </w:pPr>
            <w:r>
              <w:rPr>
                <w:sz w:val="20"/>
              </w:rPr>
              <w:t xml:space="preserve">2026</w:t>
            </w:r>
          </w:p>
        </w:tc>
        <w:tc>
          <w:tcPr>
            <w:tcW w:w="850" w:type="dxa"/>
          </w:tcPr>
          <w:p>
            <w:pPr>
              <w:pStyle w:val="0"/>
              <w:jc w:val="center"/>
            </w:pPr>
            <w:r>
              <w:rPr>
                <w:sz w:val="20"/>
              </w:rPr>
              <w:t xml:space="preserve">2027</w:t>
            </w:r>
          </w:p>
        </w:tc>
        <w:tc>
          <w:tcPr>
            <w:tcW w:w="957" w:type="dxa"/>
          </w:tcPr>
          <w:p>
            <w:pPr>
              <w:pStyle w:val="0"/>
              <w:jc w:val="center"/>
            </w:pPr>
            <w:r>
              <w:rPr>
                <w:sz w:val="20"/>
              </w:rPr>
              <w:t xml:space="preserve">2028</w:t>
            </w:r>
          </w:p>
        </w:tc>
        <w:tc>
          <w:tcPr>
            <w:tcW w:w="1002" w:type="dxa"/>
          </w:tcPr>
          <w:p>
            <w:pPr>
              <w:pStyle w:val="0"/>
              <w:jc w:val="center"/>
            </w:pPr>
            <w:r>
              <w:rPr>
                <w:sz w:val="20"/>
              </w:rPr>
              <w:t xml:space="preserve">2029</w:t>
            </w:r>
          </w:p>
        </w:tc>
        <w:tc>
          <w:tcPr>
            <w:tcW w:w="815" w:type="dxa"/>
          </w:tcPr>
          <w:p>
            <w:pPr>
              <w:pStyle w:val="0"/>
              <w:jc w:val="center"/>
            </w:pPr>
            <w:r>
              <w:rPr>
                <w:sz w:val="20"/>
              </w:rPr>
              <w:t xml:space="preserve">2030</w:t>
            </w:r>
          </w:p>
        </w:tc>
        <w:tc>
          <w:tcPr>
            <w:tcW w:w="835" w:type="dxa"/>
          </w:tcPr>
          <w:p>
            <w:pPr>
              <w:pStyle w:val="0"/>
              <w:jc w:val="center"/>
            </w:pPr>
            <w:r>
              <w:rPr>
                <w:sz w:val="20"/>
              </w:rPr>
              <w:t xml:space="preserve">2036</w:t>
            </w:r>
          </w:p>
        </w:tc>
      </w:tr>
      <w:tr>
        <w:tc>
          <w:tcPr>
            <w:vMerge w:val="continue"/>
          </w:tcPr>
          <w:p/>
        </w:tc>
        <w:tc>
          <w:tcPr>
            <w:tcW w:w="964" w:type="dxa"/>
          </w:tcPr>
          <w:p>
            <w:pPr>
              <w:pStyle w:val="0"/>
              <w:jc w:val="center"/>
            </w:pPr>
            <w:r>
              <w:rPr>
                <w:sz w:val="20"/>
              </w:rPr>
              <w:t xml:space="preserve">отчет</w:t>
            </w:r>
          </w:p>
        </w:tc>
        <w:tc>
          <w:tcPr>
            <w:tcW w:w="907" w:type="dxa"/>
          </w:tcPr>
          <w:p>
            <w:pPr>
              <w:pStyle w:val="0"/>
              <w:jc w:val="center"/>
            </w:pPr>
            <w:r>
              <w:rPr>
                <w:sz w:val="20"/>
              </w:rPr>
              <w:t xml:space="preserve">оценка</w:t>
            </w:r>
          </w:p>
        </w:tc>
        <w:tc>
          <w:tcPr>
            <w:gridSpan w:val="6"/>
            <w:tcW w:w="5420" w:type="dxa"/>
          </w:tcPr>
          <w:p>
            <w:pPr>
              <w:pStyle w:val="0"/>
              <w:jc w:val="center"/>
            </w:pPr>
            <w:r>
              <w:rPr>
                <w:sz w:val="20"/>
              </w:rPr>
              <w:t xml:space="preserve">прогноз</w:t>
            </w:r>
          </w:p>
        </w:tc>
      </w:tr>
      <w:tr>
        <w:tc>
          <w:tcPr>
            <w:gridSpan w:val="9"/>
            <w:tcW w:w="9048" w:type="dxa"/>
          </w:tcPr>
          <w:p>
            <w:pPr>
              <w:pStyle w:val="0"/>
              <w:outlineLvl w:val="4"/>
            </w:pPr>
            <w:r>
              <w:rPr>
                <w:sz w:val="20"/>
              </w:rPr>
              <w:t xml:space="preserve">консервативный вариант</w:t>
            </w:r>
          </w:p>
        </w:tc>
      </w:tr>
      <w:tr>
        <w:tc>
          <w:tcPr>
            <w:tcW w:w="1757" w:type="dxa"/>
          </w:tcPr>
          <w:p>
            <w:pPr>
              <w:pStyle w:val="0"/>
            </w:pPr>
            <w:r>
              <w:rPr>
                <w:sz w:val="20"/>
              </w:rPr>
              <w:t xml:space="preserve">Трудовые ресурсы, тыс. человек</w:t>
            </w:r>
          </w:p>
        </w:tc>
        <w:tc>
          <w:tcPr>
            <w:tcW w:w="964" w:type="dxa"/>
          </w:tcPr>
          <w:p>
            <w:pPr>
              <w:pStyle w:val="0"/>
              <w:jc w:val="center"/>
            </w:pPr>
            <w:r>
              <w:rPr>
                <w:sz w:val="20"/>
              </w:rPr>
              <w:t xml:space="preserve">878,8</w:t>
            </w:r>
          </w:p>
        </w:tc>
        <w:tc>
          <w:tcPr>
            <w:tcW w:w="907" w:type="dxa"/>
          </w:tcPr>
          <w:p>
            <w:pPr>
              <w:pStyle w:val="0"/>
              <w:jc w:val="center"/>
            </w:pPr>
            <w:r>
              <w:rPr>
                <w:sz w:val="20"/>
              </w:rPr>
              <w:t xml:space="preserve">867,7</w:t>
            </w:r>
          </w:p>
        </w:tc>
        <w:tc>
          <w:tcPr>
            <w:tcW w:w="961" w:type="dxa"/>
          </w:tcPr>
          <w:p>
            <w:pPr>
              <w:pStyle w:val="0"/>
              <w:jc w:val="center"/>
            </w:pPr>
            <w:r>
              <w:rPr>
                <w:sz w:val="20"/>
              </w:rPr>
              <w:t xml:space="preserve">852,6</w:t>
            </w:r>
          </w:p>
        </w:tc>
        <w:tc>
          <w:tcPr>
            <w:tcW w:w="850" w:type="dxa"/>
          </w:tcPr>
          <w:p>
            <w:pPr>
              <w:pStyle w:val="0"/>
              <w:jc w:val="center"/>
            </w:pPr>
            <w:r>
              <w:rPr>
                <w:sz w:val="20"/>
              </w:rPr>
              <w:t xml:space="preserve">845,6</w:t>
            </w:r>
          </w:p>
        </w:tc>
        <w:tc>
          <w:tcPr>
            <w:tcW w:w="957" w:type="dxa"/>
          </w:tcPr>
          <w:p>
            <w:pPr>
              <w:pStyle w:val="0"/>
              <w:jc w:val="center"/>
            </w:pPr>
            <w:r>
              <w:rPr>
                <w:sz w:val="20"/>
              </w:rPr>
              <w:t xml:space="preserve">845,7</w:t>
            </w:r>
          </w:p>
        </w:tc>
        <w:tc>
          <w:tcPr>
            <w:tcW w:w="1002" w:type="dxa"/>
          </w:tcPr>
          <w:p>
            <w:pPr>
              <w:pStyle w:val="0"/>
              <w:jc w:val="center"/>
            </w:pPr>
            <w:r>
              <w:rPr>
                <w:sz w:val="20"/>
              </w:rPr>
              <w:t xml:space="preserve">846,1</w:t>
            </w:r>
          </w:p>
        </w:tc>
        <w:tc>
          <w:tcPr>
            <w:tcW w:w="815" w:type="dxa"/>
          </w:tcPr>
          <w:p>
            <w:pPr>
              <w:pStyle w:val="0"/>
              <w:jc w:val="center"/>
            </w:pPr>
            <w:r>
              <w:rPr>
                <w:sz w:val="20"/>
              </w:rPr>
              <w:t xml:space="preserve">847,7</w:t>
            </w:r>
          </w:p>
        </w:tc>
        <w:tc>
          <w:tcPr>
            <w:tcW w:w="835" w:type="dxa"/>
          </w:tcPr>
          <w:p>
            <w:pPr>
              <w:pStyle w:val="0"/>
              <w:jc w:val="center"/>
            </w:pPr>
            <w:r>
              <w:rPr>
                <w:sz w:val="20"/>
              </w:rPr>
              <w:t xml:space="preserve">851,8</w:t>
            </w:r>
          </w:p>
        </w:tc>
      </w:tr>
      <w:tr>
        <w:tc>
          <w:tcPr>
            <w:tcW w:w="1757" w:type="dxa"/>
          </w:tcPr>
          <w:p>
            <w:pPr>
              <w:pStyle w:val="0"/>
            </w:pPr>
            <w:r>
              <w:rPr>
                <w:sz w:val="20"/>
              </w:rPr>
              <w:t xml:space="preserve">Численность трудоспособного населения в трудоспособном возрасте,</w:t>
            </w:r>
          </w:p>
          <w:p>
            <w:pPr>
              <w:pStyle w:val="0"/>
            </w:pPr>
            <w:r>
              <w:rPr>
                <w:sz w:val="20"/>
              </w:rPr>
              <w:t xml:space="preserve">в среднем за год, тыс. человек</w:t>
            </w:r>
          </w:p>
        </w:tc>
        <w:tc>
          <w:tcPr>
            <w:tcW w:w="964" w:type="dxa"/>
          </w:tcPr>
          <w:p>
            <w:pPr>
              <w:pStyle w:val="0"/>
              <w:jc w:val="center"/>
            </w:pPr>
            <w:r>
              <w:rPr>
                <w:sz w:val="20"/>
              </w:rPr>
              <w:t xml:space="preserve">753,9</w:t>
            </w:r>
          </w:p>
        </w:tc>
        <w:tc>
          <w:tcPr>
            <w:tcW w:w="907" w:type="dxa"/>
          </w:tcPr>
          <w:p>
            <w:pPr>
              <w:pStyle w:val="0"/>
              <w:jc w:val="center"/>
            </w:pPr>
            <w:r>
              <w:rPr>
                <w:sz w:val="20"/>
              </w:rPr>
              <w:t xml:space="preserve">750,8</w:t>
            </w:r>
          </w:p>
        </w:tc>
        <w:tc>
          <w:tcPr>
            <w:tcW w:w="961" w:type="dxa"/>
          </w:tcPr>
          <w:p>
            <w:pPr>
              <w:pStyle w:val="0"/>
              <w:jc w:val="center"/>
            </w:pPr>
            <w:r>
              <w:rPr>
                <w:sz w:val="20"/>
              </w:rPr>
              <w:t xml:space="preserve">749,0</w:t>
            </w:r>
          </w:p>
        </w:tc>
        <w:tc>
          <w:tcPr>
            <w:tcW w:w="850" w:type="dxa"/>
          </w:tcPr>
          <w:p>
            <w:pPr>
              <w:pStyle w:val="0"/>
              <w:jc w:val="center"/>
            </w:pPr>
            <w:r>
              <w:rPr>
                <w:sz w:val="20"/>
              </w:rPr>
              <w:t xml:space="preserve">745,0</w:t>
            </w:r>
          </w:p>
        </w:tc>
        <w:tc>
          <w:tcPr>
            <w:tcW w:w="957" w:type="dxa"/>
          </w:tcPr>
          <w:p>
            <w:pPr>
              <w:pStyle w:val="0"/>
              <w:jc w:val="center"/>
            </w:pPr>
            <w:r>
              <w:rPr>
                <w:sz w:val="20"/>
              </w:rPr>
              <w:t xml:space="preserve">747,0</w:t>
            </w:r>
          </w:p>
        </w:tc>
        <w:tc>
          <w:tcPr>
            <w:tcW w:w="1002" w:type="dxa"/>
          </w:tcPr>
          <w:p>
            <w:pPr>
              <w:pStyle w:val="0"/>
              <w:jc w:val="center"/>
            </w:pPr>
            <w:r>
              <w:rPr>
                <w:sz w:val="20"/>
              </w:rPr>
              <w:t xml:space="preserve">747,5</w:t>
            </w:r>
          </w:p>
        </w:tc>
        <w:tc>
          <w:tcPr>
            <w:tcW w:w="815" w:type="dxa"/>
          </w:tcPr>
          <w:p>
            <w:pPr>
              <w:pStyle w:val="0"/>
              <w:jc w:val="center"/>
            </w:pPr>
            <w:r>
              <w:rPr>
                <w:sz w:val="20"/>
              </w:rPr>
              <w:t xml:space="preserve">749,0</w:t>
            </w:r>
          </w:p>
        </w:tc>
        <w:tc>
          <w:tcPr>
            <w:tcW w:w="835" w:type="dxa"/>
          </w:tcPr>
          <w:p>
            <w:pPr>
              <w:pStyle w:val="0"/>
              <w:jc w:val="center"/>
            </w:pPr>
            <w:r>
              <w:rPr>
                <w:sz w:val="20"/>
              </w:rPr>
              <w:t xml:space="preserve">754,5</w:t>
            </w:r>
          </w:p>
        </w:tc>
      </w:tr>
      <w:tr>
        <w:tc>
          <w:tcPr>
            <w:tcW w:w="1757" w:type="dxa"/>
          </w:tcPr>
          <w:p>
            <w:pPr>
              <w:pStyle w:val="0"/>
            </w:pPr>
            <w:r>
              <w:rPr>
                <w:sz w:val="20"/>
              </w:rPr>
              <w:t xml:space="preserve">Среднегодовая численность населения, занятого в экономике, тыс. человек</w:t>
            </w:r>
          </w:p>
        </w:tc>
        <w:tc>
          <w:tcPr>
            <w:tcW w:w="964" w:type="dxa"/>
          </w:tcPr>
          <w:p>
            <w:pPr>
              <w:pStyle w:val="0"/>
              <w:jc w:val="center"/>
            </w:pPr>
            <w:r>
              <w:rPr>
                <w:sz w:val="20"/>
              </w:rPr>
              <w:t xml:space="preserve">741,9</w:t>
            </w:r>
          </w:p>
        </w:tc>
        <w:tc>
          <w:tcPr>
            <w:tcW w:w="907" w:type="dxa"/>
          </w:tcPr>
          <w:p>
            <w:pPr>
              <w:pStyle w:val="0"/>
              <w:jc w:val="center"/>
            </w:pPr>
            <w:r>
              <w:rPr>
                <w:sz w:val="20"/>
              </w:rPr>
              <w:t xml:space="preserve">742,9</w:t>
            </w:r>
          </w:p>
        </w:tc>
        <w:tc>
          <w:tcPr>
            <w:tcW w:w="961" w:type="dxa"/>
          </w:tcPr>
          <w:p>
            <w:pPr>
              <w:pStyle w:val="0"/>
              <w:jc w:val="center"/>
            </w:pPr>
            <w:r>
              <w:rPr>
                <w:sz w:val="20"/>
              </w:rPr>
              <w:t xml:space="preserve">729,5</w:t>
            </w:r>
          </w:p>
        </w:tc>
        <w:tc>
          <w:tcPr>
            <w:tcW w:w="850" w:type="dxa"/>
          </w:tcPr>
          <w:p>
            <w:pPr>
              <w:pStyle w:val="0"/>
              <w:jc w:val="center"/>
            </w:pPr>
            <w:r>
              <w:rPr>
                <w:sz w:val="20"/>
              </w:rPr>
              <w:t xml:space="preserve">730,1</w:t>
            </w:r>
          </w:p>
        </w:tc>
        <w:tc>
          <w:tcPr>
            <w:tcW w:w="957" w:type="dxa"/>
          </w:tcPr>
          <w:p>
            <w:pPr>
              <w:pStyle w:val="0"/>
              <w:jc w:val="center"/>
            </w:pPr>
            <w:r>
              <w:rPr>
                <w:sz w:val="20"/>
              </w:rPr>
              <w:t xml:space="preserve">732,3</w:t>
            </w:r>
          </w:p>
        </w:tc>
        <w:tc>
          <w:tcPr>
            <w:tcW w:w="1002" w:type="dxa"/>
          </w:tcPr>
          <w:p>
            <w:pPr>
              <w:pStyle w:val="0"/>
              <w:jc w:val="center"/>
            </w:pPr>
            <w:r>
              <w:rPr>
                <w:sz w:val="20"/>
              </w:rPr>
              <w:t xml:space="preserve">732,0</w:t>
            </w:r>
          </w:p>
        </w:tc>
        <w:tc>
          <w:tcPr>
            <w:tcW w:w="815" w:type="dxa"/>
          </w:tcPr>
          <w:p>
            <w:pPr>
              <w:pStyle w:val="0"/>
              <w:jc w:val="center"/>
            </w:pPr>
            <w:r>
              <w:rPr>
                <w:sz w:val="20"/>
              </w:rPr>
              <w:t xml:space="preserve">733,0</w:t>
            </w:r>
          </w:p>
        </w:tc>
        <w:tc>
          <w:tcPr>
            <w:tcW w:w="835" w:type="dxa"/>
          </w:tcPr>
          <w:p>
            <w:pPr>
              <w:pStyle w:val="0"/>
              <w:jc w:val="center"/>
            </w:pPr>
            <w:r>
              <w:rPr>
                <w:sz w:val="20"/>
              </w:rPr>
              <w:t xml:space="preserve">734,6</w:t>
            </w:r>
          </w:p>
        </w:tc>
      </w:tr>
      <w:tr>
        <w:tc>
          <w:tcPr>
            <w:tcW w:w="1757" w:type="dxa"/>
          </w:tcPr>
          <w:p>
            <w:pPr>
              <w:pStyle w:val="0"/>
            </w:pPr>
            <w:r>
              <w:rPr>
                <w:sz w:val="20"/>
              </w:rPr>
              <w:t xml:space="preserve">Уровень общей безработицы</w:t>
            </w:r>
          </w:p>
        </w:tc>
        <w:tc>
          <w:tcPr>
            <w:tcW w:w="964" w:type="dxa"/>
          </w:tcPr>
          <w:p>
            <w:pPr>
              <w:pStyle w:val="0"/>
              <w:jc w:val="center"/>
            </w:pPr>
            <w:r>
              <w:rPr>
                <w:sz w:val="20"/>
              </w:rPr>
              <w:t xml:space="preserve">2,1</w:t>
            </w:r>
          </w:p>
        </w:tc>
        <w:tc>
          <w:tcPr>
            <w:tcW w:w="907" w:type="dxa"/>
          </w:tcPr>
          <w:p>
            <w:pPr>
              <w:pStyle w:val="0"/>
              <w:jc w:val="center"/>
            </w:pPr>
            <w:r>
              <w:rPr>
                <w:sz w:val="20"/>
              </w:rPr>
              <w:t xml:space="preserve">1,76</w:t>
            </w:r>
          </w:p>
        </w:tc>
        <w:tc>
          <w:tcPr>
            <w:tcW w:w="961" w:type="dxa"/>
          </w:tcPr>
          <w:p>
            <w:pPr>
              <w:pStyle w:val="0"/>
              <w:jc w:val="center"/>
            </w:pPr>
            <w:r>
              <w:rPr>
                <w:sz w:val="20"/>
              </w:rPr>
              <w:t xml:space="preserve">2,06</w:t>
            </w:r>
          </w:p>
        </w:tc>
        <w:tc>
          <w:tcPr>
            <w:tcW w:w="850" w:type="dxa"/>
          </w:tcPr>
          <w:p>
            <w:pPr>
              <w:pStyle w:val="0"/>
              <w:jc w:val="center"/>
            </w:pPr>
            <w:r>
              <w:rPr>
                <w:sz w:val="20"/>
              </w:rPr>
              <w:t xml:space="preserve">1,96</w:t>
            </w:r>
          </w:p>
        </w:tc>
        <w:tc>
          <w:tcPr>
            <w:tcW w:w="957" w:type="dxa"/>
          </w:tcPr>
          <w:p>
            <w:pPr>
              <w:pStyle w:val="0"/>
              <w:jc w:val="center"/>
            </w:pPr>
            <w:r>
              <w:rPr>
                <w:sz w:val="20"/>
              </w:rPr>
              <w:t xml:space="preserve">1,8</w:t>
            </w:r>
          </w:p>
        </w:tc>
        <w:tc>
          <w:tcPr>
            <w:tcW w:w="1002" w:type="dxa"/>
          </w:tcPr>
          <w:p>
            <w:pPr>
              <w:pStyle w:val="0"/>
              <w:jc w:val="center"/>
            </w:pPr>
            <w:r>
              <w:rPr>
                <w:sz w:val="20"/>
              </w:rPr>
              <w:t xml:space="preserve">1,78</w:t>
            </w:r>
          </w:p>
        </w:tc>
        <w:tc>
          <w:tcPr>
            <w:tcW w:w="815" w:type="dxa"/>
          </w:tcPr>
          <w:p>
            <w:pPr>
              <w:pStyle w:val="0"/>
              <w:jc w:val="center"/>
            </w:pPr>
            <w:r>
              <w:rPr>
                <w:sz w:val="20"/>
              </w:rPr>
              <w:t xml:space="preserve">1,77</w:t>
            </w:r>
          </w:p>
        </w:tc>
        <w:tc>
          <w:tcPr>
            <w:tcW w:w="835" w:type="dxa"/>
          </w:tcPr>
          <w:p>
            <w:pPr>
              <w:pStyle w:val="0"/>
              <w:jc w:val="center"/>
            </w:pPr>
            <w:r>
              <w:rPr>
                <w:sz w:val="20"/>
              </w:rPr>
              <w:t xml:space="preserve">1,75</w:t>
            </w:r>
          </w:p>
        </w:tc>
      </w:tr>
      <w:tr>
        <w:tc>
          <w:tcPr>
            <w:gridSpan w:val="9"/>
            <w:tcW w:w="9048" w:type="dxa"/>
          </w:tcPr>
          <w:p>
            <w:pPr>
              <w:pStyle w:val="0"/>
              <w:outlineLvl w:val="4"/>
            </w:pPr>
            <w:r>
              <w:rPr>
                <w:sz w:val="20"/>
              </w:rPr>
              <w:t xml:space="preserve">базовый вариант</w:t>
            </w:r>
          </w:p>
        </w:tc>
      </w:tr>
      <w:tr>
        <w:tc>
          <w:tcPr>
            <w:tcW w:w="1757" w:type="dxa"/>
          </w:tcPr>
          <w:p>
            <w:pPr>
              <w:pStyle w:val="0"/>
            </w:pPr>
            <w:r>
              <w:rPr>
                <w:sz w:val="20"/>
              </w:rPr>
              <w:t xml:space="preserve">Трудовые ресурсы, тыс. человек</w:t>
            </w:r>
          </w:p>
        </w:tc>
        <w:tc>
          <w:tcPr>
            <w:tcW w:w="964" w:type="dxa"/>
          </w:tcPr>
          <w:p>
            <w:pPr>
              <w:pStyle w:val="0"/>
              <w:jc w:val="center"/>
            </w:pPr>
            <w:r>
              <w:rPr>
                <w:sz w:val="20"/>
              </w:rPr>
              <w:t xml:space="preserve">878,8</w:t>
            </w:r>
          </w:p>
        </w:tc>
        <w:tc>
          <w:tcPr>
            <w:tcW w:w="907" w:type="dxa"/>
          </w:tcPr>
          <w:p>
            <w:pPr>
              <w:pStyle w:val="0"/>
              <w:jc w:val="center"/>
            </w:pPr>
            <w:r>
              <w:rPr>
                <w:sz w:val="20"/>
              </w:rPr>
              <w:t xml:space="preserve">867,7</w:t>
            </w:r>
          </w:p>
        </w:tc>
        <w:tc>
          <w:tcPr>
            <w:tcW w:w="961" w:type="dxa"/>
          </w:tcPr>
          <w:p>
            <w:pPr>
              <w:pStyle w:val="0"/>
              <w:jc w:val="center"/>
            </w:pPr>
            <w:r>
              <w:rPr>
                <w:sz w:val="20"/>
              </w:rPr>
              <w:t xml:space="preserve">856,6</w:t>
            </w:r>
          </w:p>
        </w:tc>
        <w:tc>
          <w:tcPr>
            <w:tcW w:w="850" w:type="dxa"/>
          </w:tcPr>
          <w:p>
            <w:pPr>
              <w:pStyle w:val="0"/>
              <w:jc w:val="center"/>
            </w:pPr>
            <w:r>
              <w:rPr>
                <w:sz w:val="20"/>
              </w:rPr>
              <w:t xml:space="preserve">851,7</w:t>
            </w:r>
          </w:p>
        </w:tc>
        <w:tc>
          <w:tcPr>
            <w:tcW w:w="957" w:type="dxa"/>
          </w:tcPr>
          <w:p>
            <w:pPr>
              <w:pStyle w:val="0"/>
              <w:jc w:val="center"/>
            </w:pPr>
            <w:r>
              <w:rPr>
                <w:sz w:val="20"/>
              </w:rPr>
              <w:t xml:space="preserve">853,8</w:t>
            </w:r>
          </w:p>
        </w:tc>
        <w:tc>
          <w:tcPr>
            <w:tcW w:w="1002" w:type="dxa"/>
          </w:tcPr>
          <w:p>
            <w:pPr>
              <w:pStyle w:val="0"/>
              <w:jc w:val="center"/>
            </w:pPr>
            <w:r>
              <w:rPr>
                <w:sz w:val="20"/>
              </w:rPr>
              <w:t xml:space="preserve">854,2</w:t>
            </w:r>
          </w:p>
        </w:tc>
        <w:tc>
          <w:tcPr>
            <w:tcW w:w="815" w:type="dxa"/>
          </w:tcPr>
          <w:p>
            <w:pPr>
              <w:pStyle w:val="0"/>
              <w:jc w:val="center"/>
            </w:pPr>
            <w:r>
              <w:rPr>
                <w:sz w:val="20"/>
              </w:rPr>
              <w:t xml:space="preserve">856,4</w:t>
            </w:r>
          </w:p>
        </w:tc>
        <w:tc>
          <w:tcPr>
            <w:tcW w:w="835" w:type="dxa"/>
          </w:tcPr>
          <w:p>
            <w:pPr>
              <w:pStyle w:val="0"/>
              <w:jc w:val="center"/>
            </w:pPr>
            <w:r>
              <w:rPr>
                <w:sz w:val="20"/>
              </w:rPr>
              <w:t xml:space="preserve">864,6</w:t>
            </w:r>
          </w:p>
        </w:tc>
      </w:tr>
      <w:tr>
        <w:tc>
          <w:tcPr>
            <w:tcW w:w="1757" w:type="dxa"/>
          </w:tcPr>
          <w:p>
            <w:pPr>
              <w:pStyle w:val="0"/>
            </w:pPr>
            <w:r>
              <w:rPr>
                <w:sz w:val="20"/>
              </w:rPr>
              <w:t xml:space="preserve">Численность трудоспособного населения в трудоспособном возрасте,</w:t>
            </w:r>
          </w:p>
          <w:p>
            <w:pPr>
              <w:pStyle w:val="0"/>
            </w:pPr>
            <w:r>
              <w:rPr>
                <w:sz w:val="20"/>
              </w:rPr>
              <w:t xml:space="preserve">в среднем за год, тыс. человек</w:t>
            </w:r>
          </w:p>
        </w:tc>
        <w:tc>
          <w:tcPr>
            <w:tcW w:w="964" w:type="dxa"/>
          </w:tcPr>
          <w:p>
            <w:pPr>
              <w:pStyle w:val="0"/>
              <w:jc w:val="center"/>
            </w:pPr>
            <w:r>
              <w:rPr>
                <w:sz w:val="20"/>
              </w:rPr>
              <w:t xml:space="preserve">753,9</w:t>
            </w:r>
          </w:p>
        </w:tc>
        <w:tc>
          <w:tcPr>
            <w:tcW w:w="907" w:type="dxa"/>
          </w:tcPr>
          <w:p>
            <w:pPr>
              <w:pStyle w:val="0"/>
              <w:jc w:val="center"/>
            </w:pPr>
            <w:r>
              <w:rPr>
                <w:sz w:val="20"/>
              </w:rPr>
              <w:t xml:space="preserve">750,8</w:t>
            </w:r>
          </w:p>
        </w:tc>
        <w:tc>
          <w:tcPr>
            <w:tcW w:w="961" w:type="dxa"/>
          </w:tcPr>
          <w:p>
            <w:pPr>
              <w:pStyle w:val="0"/>
              <w:jc w:val="center"/>
            </w:pPr>
            <w:r>
              <w:rPr>
                <w:sz w:val="20"/>
              </w:rPr>
              <w:t xml:space="preserve">750,8</w:t>
            </w:r>
          </w:p>
        </w:tc>
        <w:tc>
          <w:tcPr>
            <w:tcW w:w="850" w:type="dxa"/>
          </w:tcPr>
          <w:p>
            <w:pPr>
              <w:pStyle w:val="0"/>
              <w:jc w:val="center"/>
            </w:pPr>
            <w:r>
              <w:rPr>
                <w:sz w:val="20"/>
              </w:rPr>
              <w:t xml:space="preserve">747,8</w:t>
            </w:r>
          </w:p>
        </w:tc>
        <w:tc>
          <w:tcPr>
            <w:tcW w:w="957" w:type="dxa"/>
          </w:tcPr>
          <w:p>
            <w:pPr>
              <w:pStyle w:val="0"/>
              <w:jc w:val="center"/>
            </w:pPr>
            <w:r>
              <w:rPr>
                <w:sz w:val="20"/>
              </w:rPr>
              <w:t xml:space="preserve">750,0</w:t>
            </w:r>
          </w:p>
        </w:tc>
        <w:tc>
          <w:tcPr>
            <w:tcW w:w="1002" w:type="dxa"/>
          </w:tcPr>
          <w:p>
            <w:pPr>
              <w:pStyle w:val="0"/>
              <w:jc w:val="center"/>
            </w:pPr>
            <w:r>
              <w:rPr>
                <w:sz w:val="20"/>
              </w:rPr>
              <w:t xml:space="preserve">751,5</w:t>
            </w:r>
          </w:p>
        </w:tc>
        <w:tc>
          <w:tcPr>
            <w:tcW w:w="815" w:type="dxa"/>
          </w:tcPr>
          <w:p>
            <w:pPr>
              <w:pStyle w:val="0"/>
              <w:jc w:val="center"/>
            </w:pPr>
            <w:r>
              <w:rPr>
                <w:sz w:val="20"/>
              </w:rPr>
              <w:t xml:space="preserve">753,3</w:t>
            </w:r>
          </w:p>
        </w:tc>
        <w:tc>
          <w:tcPr>
            <w:tcW w:w="835" w:type="dxa"/>
          </w:tcPr>
          <w:p>
            <w:pPr>
              <w:pStyle w:val="0"/>
              <w:jc w:val="center"/>
            </w:pPr>
            <w:r>
              <w:rPr>
                <w:sz w:val="20"/>
              </w:rPr>
              <w:t xml:space="preserve">760,1</w:t>
            </w:r>
          </w:p>
        </w:tc>
      </w:tr>
      <w:tr>
        <w:tc>
          <w:tcPr>
            <w:tcW w:w="1757" w:type="dxa"/>
          </w:tcPr>
          <w:p>
            <w:pPr>
              <w:pStyle w:val="0"/>
            </w:pPr>
            <w:r>
              <w:rPr>
                <w:sz w:val="20"/>
              </w:rPr>
              <w:t xml:space="preserve">Среднегодовая численность населения, занятого в экономике, тыс. человек</w:t>
            </w:r>
          </w:p>
        </w:tc>
        <w:tc>
          <w:tcPr>
            <w:tcW w:w="964" w:type="dxa"/>
          </w:tcPr>
          <w:p>
            <w:pPr>
              <w:pStyle w:val="0"/>
              <w:jc w:val="center"/>
            </w:pPr>
            <w:r>
              <w:rPr>
                <w:sz w:val="20"/>
              </w:rPr>
              <w:t xml:space="preserve">741,9</w:t>
            </w:r>
          </w:p>
        </w:tc>
        <w:tc>
          <w:tcPr>
            <w:tcW w:w="907" w:type="dxa"/>
          </w:tcPr>
          <w:p>
            <w:pPr>
              <w:pStyle w:val="0"/>
              <w:jc w:val="center"/>
            </w:pPr>
            <w:r>
              <w:rPr>
                <w:sz w:val="20"/>
              </w:rPr>
              <w:t xml:space="preserve">742,9</w:t>
            </w:r>
          </w:p>
        </w:tc>
        <w:tc>
          <w:tcPr>
            <w:tcW w:w="961" w:type="dxa"/>
          </w:tcPr>
          <w:p>
            <w:pPr>
              <w:pStyle w:val="0"/>
              <w:jc w:val="center"/>
            </w:pPr>
            <w:r>
              <w:rPr>
                <w:sz w:val="20"/>
              </w:rPr>
              <w:t xml:space="preserve">746,8</w:t>
            </w:r>
          </w:p>
        </w:tc>
        <w:tc>
          <w:tcPr>
            <w:tcW w:w="850" w:type="dxa"/>
          </w:tcPr>
          <w:p>
            <w:pPr>
              <w:pStyle w:val="0"/>
              <w:jc w:val="center"/>
            </w:pPr>
            <w:r>
              <w:rPr>
                <w:sz w:val="20"/>
              </w:rPr>
              <w:t xml:space="preserve">749,7</w:t>
            </w:r>
          </w:p>
        </w:tc>
        <w:tc>
          <w:tcPr>
            <w:tcW w:w="957" w:type="dxa"/>
          </w:tcPr>
          <w:p>
            <w:pPr>
              <w:pStyle w:val="0"/>
              <w:jc w:val="center"/>
            </w:pPr>
            <w:r>
              <w:rPr>
                <w:sz w:val="20"/>
              </w:rPr>
              <w:t xml:space="preserve">754,0</w:t>
            </w:r>
          </w:p>
        </w:tc>
        <w:tc>
          <w:tcPr>
            <w:tcW w:w="1002" w:type="dxa"/>
          </w:tcPr>
          <w:p>
            <w:pPr>
              <w:pStyle w:val="0"/>
              <w:jc w:val="center"/>
            </w:pPr>
            <w:r>
              <w:rPr>
                <w:sz w:val="20"/>
              </w:rPr>
              <w:t xml:space="preserve">753,0</w:t>
            </w:r>
          </w:p>
        </w:tc>
        <w:tc>
          <w:tcPr>
            <w:tcW w:w="815" w:type="dxa"/>
          </w:tcPr>
          <w:p>
            <w:pPr>
              <w:pStyle w:val="0"/>
              <w:jc w:val="center"/>
            </w:pPr>
            <w:r>
              <w:rPr>
                <w:sz w:val="20"/>
              </w:rPr>
              <w:t xml:space="preserve">754,9</w:t>
            </w:r>
          </w:p>
        </w:tc>
        <w:tc>
          <w:tcPr>
            <w:tcW w:w="835" w:type="dxa"/>
          </w:tcPr>
          <w:p>
            <w:pPr>
              <w:pStyle w:val="0"/>
              <w:jc w:val="center"/>
            </w:pPr>
            <w:r>
              <w:rPr>
                <w:sz w:val="20"/>
              </w:rPr>
              <w:t xml:space="preserve">758,0</w:t>
            </w:r>
          </w:p>
        </w:tc>
      </w:tr>
      <w:tr>
        <w:tc>
          <w:tcPr>
            <w:tcW w:w="1757" w:type="dxa"/>
          </w:tcPr>
          <w:p>
            <w:pPr>
              <w:pStyle w:val="0"/>
            </w:pPr>
            <w:r>
              <w:rPr>
                <w:sz w:val="20"/>
              </w:rPr>
              <w:t xml:space="preserve">Уровень общей безработицы, в %</w:t>
            </w:r>
          </w:p>
        </w:tc>
        <w:tc>
          <w:tcPr>
            <w:tcW w:w="964" w:type="dxa"/>
          </w:tcPr>
          <w:p>
            <w:pPr>
              <w:pStyle w:val="0"/>
              <w:jc w:val="center"/>
            </w:pPr>
            <w:r>
              <w:rPr>
                <w:sz w:val="20"/>
              </w:rPr>
              <w:t xml:space="preserve">2,1</w:t>
            </w:r>
          </w:p>
        </w:tc>
        <w:tc>
          <w:tcPr>
            <w:tcW w:w="907" w:type="dxa"/>
          </w:tcPr>
          <w:p>
            <w:pPr>
              <w:pStyle w:val="0"/>
              <w:jc w:val="center"/>
            </w:pPr>
            <w:r>
              <w:rPr>
                <w:sz w:val="20"/>
              </w:rPr>
              <w:t xml:space="preserve">1,76</w:t>
            </w:r>
          </w:p>
        </w:tc>
        <w:tc>
          <w:tcPr>
            <w:tcW w:w="961" w:type="dxa"/>
          </w:tcPr>
          <w:p>
            <w:pPr>
              <w:pStyle w:val="0"/>
              <w:jc w:val="center"/>
            </w:pPr>
            <w:r>
              <w:rPr>
                <w:sz w:val="20"/>
              </w:rPr>
              <w:t xml:space="preserve">1,89</w:t>
            </w:r>
          </w:p>
        </w:tc>
        <w:tc>
          <w:tcPr>
            <w:tcW w:w="850" w:type="dxa"/>
          </w:tcPr>
          <w:p>
            <w:pPr>
              <w:pStyle w:val="0"/>
              <w:jc w:val="center"/>
            </w:pPr>
            <w:r>
              <w:rPr>
                <w:sz w:val="20"/>
              </w:rPr>
              <w:t xml:space="preserve">1,8</w:t>
            </w:r>
          </w:p>
        </w:tc>
        <w:tc>
          <w:tcPr>
            <w:tcW w:w="957" w:type="dxa"/>
          </w:tcPr>
          <w:p>
            <w:pPr>
              <w:pStyle w:val="0"/>
              <w:jc w:val="center"/>
            </w:pPr>
            <w:r>
              <w:rPr>
                <w:sz w:val="20"/>
              </w:rPr>
              <w:t xml:space="preserve">1,72</w:t>
            </w:r>
          </w:p>
        </w:tc>
        <w:tc>
          <w:tcPr>
            <w:tcW w:w="1002" w:type="dxa"/>
          </w:tcPr>
          <w:p>
            <w:pPr>
              <w:pStyle w:val="0"/>
              <w:jc w:val="center"/>
            </w:pPr>
            <w:r>
              <w:rPr>
                <w:sz w:val="20"/>
              </w:rPr>
              <w:t xml:space="preserve">1,72</w:t>
            </w:r>
          </w:p>
        </w:tc>
        <w:tc>
          <w:tcPr>
            <w:tcW w:w="815" w:type="dxa"/>
          </w:tcPr>
          <w:p>
            <w:pPr>
              <w:pStyle w:val="0"/>
              <w:jc w:val="center"/>
            </w:pPr>
            <w:r>
              <w:rPr>
                <w:sz w:val="20"/>
              </w:rPr>
              <w:t xml:space="preserve">1,72</w:t>
            </w:r>
          </w:p>
        </w:tc>
        <w:tc>
          <w:tcPr>
            <w:tcW w:w="835" w:type="dxa"/>
          </w:tcPr>
          <w:p>
            <w:pPr>
              <w:pStyle w:val="0"/>
              <w:jc w:val="center"/>
            </w:pPr>
            <w:r>
              <w:rPr>
                <w:sz w:val="20"/>
              </w:rPr>
              <w:t xml:space="preserve">1,69</w:t>
            </w:r>
          </w:p>
        </w:tc>
      </w:tr>
    </w:tbl>
    <w:p>
      <w:pPr>
        <w:pStyle w:val="0"/>
      </w:pPr>
      <w:r>
        <w:rPr>
          <w:sz w:val="20"/>
        </w:rPr>
      </w:r>
    </w:p>
    <w:p>
      <w:pPr>
        <w:pStyle w:val="2"/>
        <w:outlineLvl w:val="1"/>
        <w:jc w:val="center"/>
      </w:pPr>
      <w:r>
        <w:rPr>
          <w:sz w:val="20"/>
        </w:rPr>
        <w:t xml:space="preserve">16. Механизмы реализации и ресурсное обеспечение Стратегии</w:t>
      </w:r>
    </w:p>
    <w:p>
      <w:pPr>
        <w:pStyle w:val="0"/>
      </w:pPr>
      <w:r>
        <w:rPr>
          <w:sz w:val="20"/>
        </w:rPr>
      </w:r>
    </w:p>
    <w:p>
      <w:pPr>
        <w:pStyle w:val="0"/>
        <w:ind w:firstLine="540"/>
        <w:jc w:val="both"/>
      </w:pPr>
      <w:r>
        <w:rPr>
          <w:sz w:val="20"/>
        </w:rPr>
        <w:t xml:space="preserve">Достижение целей Стратегии требует согласованной системной работы Тульской области с федеральными органами исполнительной власти, органами местного самоуправления, организациями, в том числе общественными, для развития всех ключевых сфер и отраслей региональной экономики, а также четкого разграничения полномочий и ответственности всех участников реализации Стратегии.</w:t>
      </w:r>
    </w:p>
    <w:p>
      <w:pPr>
        <w:pStyle w:val="0"/>
        <w:spacing w:before="200" w:lineRule="auto"/>
        <w:ind w:firstLine="540"/>
        <w:jc w:val="both"/>
      </w:pPr>
      <w:r>
        <w:rPr>
          <w:sz w:val="20"/>
        </w:rPr>
        <w:t xml:space="preserve">В качестве основных механизмов реализации Стратегии предполагаются программно-целевой и проектный подходы, предусматривающие реализацию мероприятий и достижение целевых показателей государственных программ и приоритетных направлений Тульской области.</w:t>
      </w:r>
    </w:p>
    <w:p>
      <w:pPr>
        <w:pStyle w:val="0"/>
        <w:spacing w:before="200" w:lineRule="auto"/>
        <w:ind w:firstLine="540"/>
        <w:jc w:val="both"/>
      </w:pPr>
      <w:r>
        <w:rPr>
          <w:sz w:val="20"/>
        </w:rPr>
        <w:t xml:space="preserve">Основные направления деятельности и ключевые мероприятия, направленные на реализацию Стратегии, будут детализированы в Плане мероприятий по реализации Стратегии, в котором будет осуществлена их увязка со стратегическими целями.</w:t>
      </w:r>
    </w:p>
    <w:p>
      <w:pPr>
        <w:pStyle w:val="0"/>
        <w:spacing w:before="200" w:lineRule="auto"/>
        <w:ind w:firstLine="540"/>
        <w:jc w:val="both"/>
      </w:pPr>
      <w:r>
        <w:rPr>
          <w:sz w:val="20"/>
        </w:rPr>
        <w:t xml:space="preserve">Финансирование Плана мероприятий по реализации Стратегии осуществляется за счет средств бюджетов всех уровней, а также внебюджетных источников, в том числе предусмотренных в соответствующих программах и проектах.</w:t>
      </w:r>
    </w:p>
    <w:p>
      <w:pPr>
        <w:pStyle w:val="0"/>
        <w:spacing w:before="200" w:lineRule="auto"/>
        <w:ind w:firstLine="540"/>
        <w:jc w:val="both"/>
      </w:pPr>
      <w:r>
        <w:rPr>
          <w:sz w:val="20"/>
        </w:rPr>
        <w:t xml:space="preserve">В соответствии с прогнозными данными объем расходов консолидированного бюджета Тульской области за период 2026 - 2036 годов составит 1756, 55 млрд. рублей, в том числе на первый этап (2026 - 2028 годы) - 479,05 млрд. рублей, на второй этап (2029 - 2036 годы) - 1277,5 млрд. рублей.</w:t>
      </w:r>
    </w:p>
    <w:p>
      <w:pPr>
        <w:pStyle w:val="0"/>
        <w:spacing w:before="200" w:lineRule="auto"/>
        <w:ind w:firstLine="540"/>
        <w:jc w:val="both"/>
      </w:pPr>
      <w:r>
        <w:rPr>
          <w:sz w:val="20"/>
        </w:rPr>
        <w:t xml:space="preserve">Неотъемлемой частью Стратегии являются государственные программы Тульской области. Перечень государственных программ Тульской области в рамках реализации первого этапа (2026 - 2028 годы) Стратегии представлен в </w:t>
      </w:r>
      <w:hyperlink w:history="0" w:anchor="P4651" w:tooltip="ПЕРЕЧЕНЬ">
        <w:r>
          <w:rPr>
            <w:sz w:val="20"/>
            <w:color w:val="0000ff"/>
          </w:rPr>
          <w:t xml:space="preserve">приложении N 4</w:t>
        </w:r>
      </w:hyperlink>
      <w:r>
        <w:rPr>
          <w:sz w:val="20"/>
        </w:rPr>
        <w:t xml:space="preserve">.</w:t>
      </w:r>
    </w:p>
    <w:p>
      <w:pPr>
        <w:pStyle w:val="0"/>
        <w:spacing w:before="200" w:lineRule="auto"/>
        <w:ind w:firstLine="540"/>
        <w:jc w:val="both"/>
      </w:pPr>
      <w:r>
        <w:rPr>
          <w:sz w:val="20"/>
        </w:rPr>
        <w:t xml:space="preserve">Потребность в финансовых ресурсах на реализацию второго этапа (2029 - 2036 годы) будет оцениваться по итогам реализации первого этапа Стратегии с учетом формирования показателей бюджета Тульской области и бюджетного прогноза на долгосрочный период.</w:t>
      </w:r>
    </w:p>
    <w:p>
      <w:pPr>
        <w:pStyle w:val="0"/>
        <w:spacing w:before="200" w:lineRule="auto"/>
        <w:ind w:firstLine="540"/>
        <w:jc w:val="both"/>
      </w:pPr>
      <w:r>
        <w:rPr>
          <w:sz w:val="20"/>
        </w:rPr>
        <w:t xml:space="preserve">Основной целью бюджетной политики Тульской области будет являться сохранение стабильности ситуации при обеспечении долгосрочной сбалансированности и финансовой устойчивости бюджетной системы Тульской области, накопление и рациональное использование резервов, анализ рисков и обеспечение предсказуемости ситуации с учетом сложившихся условий и перспектив развития экономики, преемственность и реализация поставленных ранее стратегических целей, а также реализация целей социально-экономического развития Тульской области, обеспечение потребностей населения и организаций в государственных услугах, рост показателей их доступности и качества.</w:t>
      </w:r>
    </w:p>
    <w:p>
      <w:pPr>
        <w:pStyle w:val="0"/>
        <w:spacing w:before="200" w:lineRule="auto"/>
        <w:ind w:firstLine="540"/>
        <w:jc w:val="both"/>
      </w:pPr>
      <w:r>
        <w:rPr>
          <w:sz w:val="20"/>
        </w:rPr>
        <w:t xml:space="preserve">Первоочередные усилия и ресурсы бюджетной политики будут сконцентрированы на привлечении и удержании в бюджетной сфере высокопрофессиональных кадров и развитии материально-технической базы государственных учреждений Тульской области, в том числе за счет более активного привлечения средств из внебюджетных источников (оказание учреждениями платных услуг, получение инвестиций в рамках развития государственно-частного партнерства).</w:t>
      </w:r>
    </w:p>
    <w:p>
      <w:pPr>
        <w:pStyle w:val="0"/>
        <w:spacing w:before="200" w:lineRule="auto"/>
        <w:ind w:firstLine="540"/>
        <w:jc w:val="both"/>
      </w:pPr>
      <w:r>
        <w:rPr>
          <w:sz w:val="20"/>
        </w:rPr>
        <w:t xml:space="preserve">Будет продолжена работа по совершенствованию системы межбюджетных отношений, позволяющая выравнивать финансовые возможности муниципальных образований Тульской области и повышать эффективность расходования межбюджетных трансфертов на местах.</w:t>
      </w:r>
    </w:p>
    <w:p>
      <w:pPr>
        <w:pStyle w:val="0"/>
        <w:spacing w:before="200" w:lineRule="auto"/>
        <w:ind w:firstLine="540"/>
        <w:jc w:val="both"/>
      </w:pPr>
      <w:r>
        <w:rPr>
          <w:sz w:val="20"/>
        </w:rPr>
        <w:t xml:space="preserve">Наращивание поступлений из внебюджетных источников будет осуществляться за счет активной работы региональной власти с фактическими и потенциальными инвесторами в лице крупного, среднего и малого бизнеса, а также работы с населением (домохозяйствами).</w:t>
      </w:r>
    </w:p>
    <w:p>
      <w:pPr>
        <w:pStyle w:val="0"/>
        <w:spacing w:before="200" w:lineRule="auto"/>
        <w:ind w:firstLine="540"/>
        <w:jc w:val="both"/>
      </w:pPr>
      <w:r>
        <w:rPr>
          <w:sz w:val="20"/>
        </w:rPr>
        <w:t xml:space="preserve">Инвестиции со стороны бизнеса будут нацелены в основном на осуществление капитальных вложений в производственную и непроизводственную сферу (строительство зданий и сооружений, покупка, машин и оборудования, капитальные ремонты).</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1</w:t>
      </w:r>
    </w:p>
    <w:p>
      <w:pPr>
        <w:pStyle w:val="0"/>
        <w:jc w:val="right"/>
      </w:pPr>
      <w:r>
        <w:rPr>
          <w:sz w:val="20"/>
        </w:rPr>
        <w:t xml:space="preserve">к стратегии социально-экономического</w:t>
      </w:r>
    </w:p>
    <w:p>
      <w:pPr>
        <w:pStyle w:val="0"/>
        <w:jc w:val="right"/>
      </w:pPr>
      <w:r>
        <w:rPr>
          <w:sz w:val="20"/>
        </w:rPr>
        <w:t xml:space="preserve">развития Тульской области</w:t>
      </w:r>
    </w:p>
    <w:p>
      <w:pPr>
        <w:pStyle w:val="0"/>
        <w:jc w:val="right"/>
      </w:pPr>
      <w:r>
        <w:rPr>
          <w:sz w:val="20"/>
        </w:rPr>
        <w:t xml:space="preserve">до 2030 года с перспективой</w:t>
      </w:r>
    </w:p>
    <w:p>
      <w:pPr>
        <w:pStyle w:val="0"/>
        <w:jc w:val="right"/>
      </w:pPr>
      <w:r>
        <w:rPr>
          <w:sz w:val="20"/>
        </w:rPr>
        <w:t xml:space="preserve">до 2036 года</w:t>
      </w:r>
    </w:p>
    <w:p>
      <w:pPr>
        <w:pStyle w:val="0"/>
      </w:pPr>
      <w:r>
        <w:rPr>
          <w:sz w:val="20"/>
        </w:rPr>
      </w:r>
    </w:p>
    <w:bookmarkStart w:id="2693" w:name="P2693"/>
    <w:bookmarkEnd w:id="2693"/>
    <w:p>
      <w:pPr>
        <w:pStyle w:val="2"/>
        <w:jc w:val="center"/>
      </w:pPr>
      <w:r>
        <w:rPr>
          <w:sz w:val="20"/>
        </w:rPr>
        <w:t xml:space="preserve">НОРМАТИВНЫЕ ПРАВОВЫЕ АКТЫ</w:t>
      </w:r>
    </w:p>
    <w:p>
      <w:pPr>
        <w:pStyle w:val="2"/>
        <w:jc w:val="center"/>
      </w:pPr>
      <w:r>
        <w:rPr>
          <w:sz w:val="20"/>
        </w:rPr>
        <w:t xml:space="preserve">И ДОКУМЕНТЫ</w:t>
      </w:r>
    </w:p>
    <w:p>
      <w:pPr>
        <w:pStyle w:val="2"/>
        <w:jc w:val="center"/>
      </w:pPr>
      <w:r>
        <w:rPr>
          <w:sz w:val="20"/>
        </w:rPr>
        <w:t xml:space="preserve">стратегического планирования федерального и регионального</w:t>
      </w:r>
    </w:p>
    <w:p>
      <w:pPr>
        <w:pStyle w:val="2"/>
        <w:jc w:val="center"/>
      </w:pPr>
      <w:r>
        <w:rPr>
          <w:sz w:val="20"/>
        </w:rPr>
        <w:t xml:space="preserve">уровней, послужившие основанием для разработки стратегии</w:t>
      </w:r>
    </w:p>
    <w:p>
      <w:pPr>
        <w:pStyle w:val="2"/>
        <w:jc w:val="center"/>
      </w:pPr>
      <w:r>
        <w:rPr>
          <w:sz w:val="20"/>
        </w:rPr>
        <w:t xml:space="preserve">социально-экономического развития Тульской области</w:t>
      </w:r>
    </w:p>
    <w:p>
      <w:pPr>
        <w:pStyle w:val="2"/>
        <w:jc w:val="center"/>
      </w:pPr>
      <w:r>
        <w:rPr>
          <w:sz w:val="20"/>
        </w:rPr>
        <w:t xml:space="preserve">до 2030 года с перспективой до 2036 года</w:t>
      </w:r>
    </w:p>
    <w:p>
      <w:pPr>
        <w:pStyle w:val="0"/>
      </w:pPr>
      <w:r>
        <w:rPr>
          <w:sz w:val="20"/>
        </w:rPr>
      </w:r>
    </w:p>
    <w:p>
      <w:pPr>
        <w:pStyle w:val="0"/>
        <w:ind w:firstLine="540"/>
        <w:jc w:val="both"/>
      </w:pPr>
      <w:r>
        <w:rPr>
          <w:sz w:val="20"/>
        </w:rPr>
        <w:t xml:space="preserve">Федеральный </w:t>
      </w:r>
      <w:hyperlink w:history="0" r:id="rId49"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закон</w:t>
        </w:r>
      </w:hyperlink>
      <w:r>
        <w:rPr>
          <w:sz w:val="20"/>
        </w:rPr>
        <w:t xml:space="preserve"> от 28 июня 2014 года N 172-ФЗ "О стратегическом планировании в Российской Федерации";</w:t>
      </w:r>
    </w:p>
    <w:p>
      <w:pPr>
        <w:pStyle w:val="0"/>
        <w:spacing w:before="200" w:lineRule="auto"/>
        <w:ind w:firstLine="540"/>
        <w:jc w:val="both"/>
      </w:pPr>
      <w:hyperlink w:history="0" r:id="rId50" w:tooltip="Указ Президента РФ от 24.12.2014 N 808 (ред. от 17.07.2025) &quot;Об утверждении Основ государственной культурной политики&quot; {КонсультантПлюс}">
        <w:r>
          <w:rPr>
            <w:sz w:val="20"/>
            <w:color w:val="0000ff"/>
          </w:rPr>
          <w:t xml:space="preserve">Указ</w:t>
        </w:r>
      </w:hyperlink>
      <w:r>
        <w:rPr>
          <w:sz w:val="20"/>
        </w:rPr>
        <w:t xml:space="preserve"> Президента Российской Федерации от 24 декабря 2014 года N 808 "Об утверждении Основ государственной культурной политики";</w:t>
      </w:r>
    </w:p>
    <w:p>
      <w:pPr>
        <w:pStyle w:val="0"/>
        <w:spacing w:before="200" w:lineRule="auto"/>
        <w:ind w:firstLine="540"/>
        <w:jc w:val="both"/>
      </w:pPr>
      <w:hyperlink w:history="0" r:id="rId51" w:tooltip="Указ Президента РФ от 09.05.2017 N 203 &quot;О Стратегии развития информационного общества в Российской Федерации на 2017 - 2030 годы&quot; {КонсультантПлюс}">
        <w:r>
          <w:rPr>
            <w:sz w:val="20"/>
            <w:color w:val="0000ff"/>
          </w:rPr>
          <w:t xml:space="preserve">Указ</w:t>
        </w:r>
      </w:hyperlink>
      <w:r>
        <w:rPr>
          <w:sz w:val="20"/>
        </w:rPr>
        <w:t xml:space="preserve"> Президента Российской Федерации от 9 мая 2017 года N 203 "О Стратегии развития информационного общества в Российской Федерации на 2017 - 2030 годы";</w:t>
      </w:r>
    </w:p>
    <w:p>
      <w:pPr>
        <w:pStyle w:val="0"/>
        <w:spacing w:before="200" w:lineRule="auto"/>
        <w:ind w:firstLine="540"/>
        <w:jc w:val="both"/>
      </w:pPr>
      <w:hyperlink w:history="0" r:id="rId52" w:tooltip="Указ Президента РФ от 13.05.2017 N 208 &quot;О Стратегии экономической безопасности Российской Федерации на период до 2030 года&quot; {КонсультантПлюс}">
        <w:r>
          <w:rPr>
            <w:sz w:val="20"/>
            <w:color w:val="0000ff"/>
          </w:rPr>
          <w:t xml:space="preserve">Указ</w:t>
        </w:r>
      </w:hyperlink>
      <w:r>
        <w:rPr>
          <w:sz w:val="20"/>
        </w:rPr>
        <w:t xml:space="preserve"> Президента Российской Федерации от 13 мая 2017 года N 208 "О Стратегии экономической безопасности Российской Федерации на период до 2030 года";</w:t>
      </w:r>
    </w:p>
    <w:p>
      <w:pPr>
        <w:pStyle w:val="0"/>
        <w:spacing w:before="200" w:lineRule="auto"/>
        <w:ind w:firstLine="540"/>
        <w:jc w:val="both"/>
      </w:pPr>
      <w:hyperlink w:history="0" r:id="rId53" w:tooltip="Указ Президента РФ от 10.10.2019 N 490 (ред. от 15.02.2024) &quot;О развитии искусственного интеллекта в Российской Федерации&quot; (вместе с &quot;Национальной стратегией развития искусственного интеллекта на период до 2030 года&quot;) {КонсультантПлюс}">
        <w:r>
          <w:rPr>
            <w:sz w:val="20"/>
            <w:color w:val="0000ff"/>
          </w:rPr>
          <w:t xml:space="preserve">Указ</w:t>
        </w:r>
      </w:hyperlink>
      <w:r>
        <w:rPr>
          <w:sz w:val="20"/>
        </w:rPr>
        <w:t xml:space="preserve"> Президента Российской Федерации от 10 октября 2019 года N 490 "О развитии искусственного интеллекта в Российской Федерации";</w:t>
      </w:r>
    </w:p>
    <w:p>
      <w:pPr>
        <w:pStyle w:val="0"/>
        <w:spacing w:before="200" w:lineRule="auto"/>
        <w:ind w:firstLine="540"/>
        <w:jc w:val="both"/>
      </w:pPr>
      <w:hyperlink w:history="0" r:id="rId54" w:tooltip="Указ Президента РФ от 16.10.2019 N 501 &quot;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quot; {КонсультантПлюс}">
        <w:r>
          <w:rPr>
            <w:sz w:val="20"/>
            <w:color w:val="0000ff"/>
          </w:rPr>
          <w:t xml:space="preserve">Указ</w:t>
        </w:r>
      </w:hyperlink>
      <w:r>
        <w:rPr>
          <w:sz w:val="20"/>
        </w:rPr>
        <w:t xml:space="preserve"> Президента Российской Федерации от 16 октября 2019 года N 501 "О Стратегии в области развития гражданской обороны, защиты населения и территорий от чрезвычайных ситуаций, обеспечения пожарной безопасности и безопасности людей на водных объектах на период до 2030 года";</w:t>
      </w:r>
    </w:p>
    <w:p>
      <w:pPr>
        <w:pStyle w:val="0"/>
        <w:spacing w:before="200" w:lineRule="auto"/>
        <w:ind w:firstLine="540"/>
        <w:jc w:val="both"/>
      </w:pPr>
      <w:hyperlink w:history="0" r:id="rId55" w:tooltip="Указ Президента РФ от 21.01.2020 N 20 (ред. от 10.03.2025) &quot;Об утверждении Доктрины продовольственной безопасности Российской Федерации&quot; {КонсультантПлюс}">
        <w:r>
          <w:rPr>
            <w:sz w:val="20"/>
            <w:color w:val="0000ff"/>
          </w:rPr>
          <w:t xml:space="preserve">Указ</w:t>
        </w:r>
      </w:hyperlink>
      <w:r>
        <w:rPr>
          <w:sz w:val="20"/>
        </w:rPr>
        <w:t xml:space="preserve"> Президента Российской Федерации от 21 января 2020 года N 20 "Об утверждении Доктрины продовольственной безопасности Российской Федерации";</w:t>
      </w:r>
    </w:p>
    <w:p>
      <w:pPr>
        <w:pStyle w:val="0"/>
        <w:spacing w:before="200" w:lineRule="auto"/>
        <w:ind w:firstLine="540"/>
        <w:jc w:val="both"/>
      </w:pPr>
      <w:hyperlink w:history="0" r:id="rId56" w:tooltip="Указ Президента РФ от 23.11.2020 N 733 (ред. от 16.02.2026) &quot;Об утверждении Стратегии государственной антинаркотической политики Российской Федерации на период до 2030 года&quot; {КонсультантПлюс}">
        <w:r>
          <w:rPr>
            <w:sz w:val="20"/>
            <w:color w:val="0000ff"/>
          </w:rPr>
          <w:t xml:space="preserve">Указ</w:t>
        </w:r>
      </w:hyperlink>
      <w:r>
        <w:rPr>
          <w:sz w:val="20"/>
        </w:rPr>
        <w:t xml:space="preserve"> Президента Российской Федерации от 23 ноября 2020 года N 733 "Об утверждении Стратегии государственной антинаркотической политики Российской Федерации на период до 2030 года";</w:t>
      </w:r>
    </w:p>
    <w:p>
      <w:pPr>
        <w:pStyle w:val="0"/>
        <w:spacing w:before="200" w:lineRule="auto"/>
        <w:ind w:firstLine="540"/>
        <w:jc w:val="both"/>
      </w:pPr>
      <w:hyperlink w:history="0" r:id="rId57" w:tooltip="Указ Президента РФ от 02.07.2021 N 400 &quot;О Стратегии национальной безопасности Российской Федерации&quot; {КонсультантПлюс}">
        <w:r>
          <w:rPr>
            <w:sz w:val="20"/>
            <w:color w:val="0000ff"/>
          </w:rPr>
          <w:t xml:space="preserve">Указ</w:t>
        </w:r>
      </w:hyperlink>
      <w:r>
        <w:rPr>
          <w:sz w:val="20"/>
        </w:rPr>
        <w:t xml:space="preserve"> Президента Российской Федерации от 2 июля 2021 года N 400 "О Стратегии национальной безопасности Российской Федерации";</w:t>
      </w:r>
    </w:p>
    <w:p>
      <w:pPr>
        <w:pStyle w:val="0"/>
        <w:spacing w:before="200" w:lineRule="auto"/>
        <w:ind w:firstLine="540"/>
        <w:jc w:val="both"/>
      </w:pPr>
      <w:hyperlink w:history="0" r:id="rId58" w:tooltip="Указ Президента РФ от 08.11.2021 N 633 &quot;Об утверждении Основ государственной политики в сфере стратегического планирования в Российской Федерации&quot; {КонсультантПлюс}">
        <w:r>
          <w:rPr>
            <w:sz w:val="20"/>
            <w:color w:val="0000ff"/>
          </w:rPr>
          <w:t xml:space="preserve">Указ</w:t>
        </w:r>
      </w:hyperlink>
      <w:r>
        <w:rPr>
          <w:sz w:val="20"/>
        </w:rPr>
        <w:t xml:space="preserve"> Президента Российской Федерации от 8 ноября 2021 года N 633 "Об утверждении Основ государственной политики в сфере стратегического планирования в Российской Федерации";</w:t>
      </w:r>
    </w:p>
    <w:p>
      <w:pPr>
        <w:pStyle w:val="0"/>
        <w:spacing w:before="200" w:lineRule="auto"/>
        <w:ind w:firstLine="540"/>
        <w:jc w:val="both"/>
      </w:pPr>
      <w:hyperlink w:history="0" r:id="rId59" w:tooltip="Указ Президента РФ от 31.03.2023 N 229 &quot;Об утверждении Концепции внешней политики Российской Федерации&quot; {КонсультантПлюс}">
        <w:r>
          <w:rPr>
            <w:sz w:val="20"/>
            <w:color w:val="0000ff"/>
          </w:rPr>
          <w:t xml:space="preserve">Указ</w:t>
        </w:r>
      </w:hyperlink>
      <w:r>
        <w:rPr>
          <w:sz w:val="20"/>
        </w:rPr>
        <w:t xml:space="preserve"> Президента Российской Федерации от 31 марта 2023 года N 229 "Об утверждении Концепции внешней политики Российской Федерации";</w:t>
      </w:r>
    </w:p>
    <w:p>
      <w:pPr>
        <w:pStyle w:val="0"/>
        <w:spacing w:before="200" w:lineRule="auto"/>
        <w:ind w:firstLine="540"/>
        <w:jc w:val="both"/>
      </w:pPr>
      <w:hyperlink w:history="0" r:id="rId60" w:tooltip="Указ Президента РФ от 28.02.2024 N 145 &quot;О Стратегии научно-технологического развития Российской Федерации&quot; {КонсультантПлюс}">
        <w:r>
          <w:rPr>
            <w:sz w:val="20"/>
            <w:color w:val="0000ff"/>
          </w:rPr>
          <w:t xml:space="preserve">Указ</w:t>
        </w:r>
      </w:hyperlink>
      <w:r>
        <w:rPr>
          <w:sz w:val="20"/>
        </w:rPr>
        <w:t xml:space="preserve"> Президента Российской Федерации от 28 февраля 2024 года N 145 "О Стратегии научно-технологического развития Российской Федерации";</w:t>
      </w:r>
    </w:p>
    <w:p>
      <w:pPr>
        <w:pStyle w:val="0"/>
        <w:spacing w:before="200" w:lineRule="auto"/>
        <w:ind w:firstLine="540"/>
        <w:jc w:val="both"/>
      </w:pPr>
      <w:hyperlink w:history="0" r:id="rId61" w:tooltip="Указ Президента РФ от 07.05.2024 N 309 &quot;О национальных целях развития Российской Федерации на период до 2030 года и на перспективу до 2036 года&quot; {КонсультантПлюс}">
        <w:r>
          <w:rPr>
            <w:sz w:val="20"/>
            <w:color w:val="0000ff"/>
          </w:rPr>
          <w:t xml:space="preserve">Указ</w:t>
        </w:r>
      </w:hyperlink>
      <w:r>
        <w:rPr>
          <w:sz w:val="20"/>
        </w:rPr>
        <w:t xml:space="preserve"> Президента Российской Федерации от 7 мая 2024 года N 309 "О национальных целях развития Российской Федерации на период до 2030 года и на перспективу до 2036 года";</w:t>
      </w:r>
    </w:p>
    <w:p>
      <w:pPr>
        <w:pStyle w:val="0"/>
        <w:spacing w:before="200" w:lineRule="auto"/>
        <w:ind w:firstLine="540"/>
        <w:jc w:val="both"/>
      </w:pPr>
      <w:hyperlink w:history="0" r:id="rId62" w:tooltip="Указ Президента РФ от 18.06.2024 N 529 &quot;Об утверждении приоритетных направлений научно-технологического развития и перечня важнейших наукоемких технологий&quot; {КонсультантПлюс}">
        <w:r>
          <w:rPr>
            <w:sz w:val="20"/>
            <w:color w:val="0000ff"/>
          </w:rPr>
          <w:t xml:space="preserve">Указ</w:t>
        </w:r>
      </w:hyperlink>
      <w:r>
        <w:rPr>
          <w:sz w:val="20"/>
        </w:rPr>
        <w:t xml:space="preserve"> Президента Российской Федерации от 18 июня 2024 года N 529 "Об утверждении приоритетных направлений научно-технологического развития и перечня важнейших наукоемких технологий";</w:t>
      </w:r>
    </w:p>
    <w:p>
      <w:pPr>
        <w:pStyle w:val="0"/>
        <w:spacing w:before="200" w:lineRule="auto"/>
        <w:ind w:firstLine="540"/>
        <w:jc w:val="both"/>
      </w:pPr>
      <w:hyperlink w:history="0" r:id="rId63" w:tooltip="Указ Президента РФ от 28.11.2024 N 1014 &quot;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quot; {КонсультантПлюс}">
        <w:r>
          <w:rPr>
            <w:sz w:val="20"/>
            <w:color w:val="0000ff"/>
          </w:rPr>
          <w:t xml:space="preserve">Указ</w:t>
        </w:r>
      </w:hyperlink>
      <w:r>
        <w:rPr>
          <w:sz w:val="20"/>
        </w:rPr>
        <w:t xml:space="preserve"> Президента Российской Федерации от 28 ноября 2024 года N 1014 "Об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w:t>
      </w:r>
    </w:p>
    <w:p>
      <w:pPr>
        <w:pStyle w:val="0"/>
        <w:spacing w:before="200" w:lineRule="auto"/>
        <w:ind w:firstLine="540"/>
        <w:jc w:val="both"/>
      </w:pPr>
      <w:hyperlink w:history="0" r:id="rId64" w:tooltip="Указ Президента РФ от 28.12.2024 N 1124 &quot;Об утверждении Стратегии противодействия экстремизму в Российской Федерации&quot; {КонсультантПлюс}">
        <w:r>
          <w:rPr>
            <w:sz w:val="20"/>
            <w:color w:val="0000ff"/>
          </w:rPr>
          <w:t xml:space="preserve">Указ</w:t>
        </w:r>
      </w:hyperlink>
      <w:r>
        <w:rPr>
          <w:sz w:val="20"/>
        </w:rPr>
        <w:t xml:space="preserve"> Президента Российской Федерации от 28 декабря 2024 года N 1124 "Об утверждении Стратегии противодействия экстремизму в Российской Федерации";</w:t>
      </w:r>
    </w:p>
    <w:p>
      <w:pPr>
        <w:pStyle w:val="0"/>
        <w:spacing w:before="200" w:lineRule="auto"/>
        <w:ind w:firstLine="540"/>
        <w:jc w:val="both"/>
      </w:pPr>
      <w:hyperlink w:history="0" r:id="rId65" w:tooltip="Указ Президента РФ от 14.11.2025 N 841 &quot;Об утверждении Стратегии повышения безопасности дорожного движения в Российской Федерации на период до 2030 года и на перспективу до 2036 года&quot; {КонсультантПлюс}">
        <w:r>
          <w:rPr>
            <w:sz w:val="20"/>
            <w:color w:val="0000ff"/>
          </w:rPr>
          <w:t xml:space="preserve">Указ</w:t>
        </w:r>
      </w:hyperlink>
      <w:r>
        <w:rPr>
          <w:sz w:val="20"/>
        </w:rPr>
        <w:t xml:space="preserve"> Президента Российской Федерации от 14 ноября 2025 года N 841 "Об утверждении Стратегии повышения безопасности дорожного движения в Российской Федерации на период до 2030 года и на перспективу до 2036 года";</w:t>
      </w:r>
    </w:p>
    <w:p>
      <w:pPr>
        <w:pStyle w:val="0"/>
        <w:spacing w:before="200" w:lineRule="auto"/>
        <w:ind w:firstLine="540"/>
        <w:jc w:val="both"/>
      </w:pPr>
      <w:hyperlink w:history="0" r:id="rId66" w:tooltip="Указ Президента РФ от 25.11.2025 N 858 &quot;О Стратегии государственной национальной политики Российской Федерации на период до 2036 года&quot; {КонсультантПлюс}">
        <w:r>
          <w:rPr>
            <w:sz w:val="20"/>
            <w:color w:val="0000ff"/>
          </w:rPr>
          <w:t xml:space="preserve">Указ</w:t>
        </w:r>
      </w:hyperlink>
      <w:r>
        <w:rPr>
          <w:sz w:val="20"/>
        </w:rPr>
        <w:t xml:space="preserve"> Президента Российской Федерации от 25 ноября 2025 года N 858 "О Стратегии государственной национальной политики Российской Федерации на период до 2036 года";</w:t>
      </w:r>
    </w:p>
    <w:p>
      <w:pPr>
        <w:pStyle w:val="0"/>
        <w:spacing w:before="200" w:lineRule="auto"/>
        <w:ind w:firstLine="540"/>
        <w:jc w:val="both"/>
      </w:pPr>
      <w:hyperlink w:history="0" r:id="rId67" w:tooltip="Указ Президента РФ от 08.12.2025 N 896 &quot;О Стратегии развития здравоохранения в Российской Федерации на период до 2030 года&quot; {КонсультантПлюс}">
        <w:r>
          <w:rPr>
            <w:sz w:val="20"/>
            <w:color w:val="0000ff"/>
          </w:rPr>
          <w:t xml:space="preserve">Указ</w:t>
        </w:r>
      </w:hyperlink>
      <w:r>
        <w:rPr>
          <w:sz w:val="20"/>
        </w:rPr>
        <w:t xml:space="preserve"> Президента Российской Федерации от 8 декабря 2025 года N 896 "О Стратегии развития здравоохранения в Российской Федерации на период до 2030 года";</w:t>
      </w:r>
    </w:p>
    <w:p>
      <w:pPr>
        <w:pStyle w:val="0"/>
        <w:spacing w:before="200" w:lineRule="auto"/>
        <w:ind w:firstLine="540"/>
        <w:jc w:val="both"/>
      </w:pPr>
      <w:hyperlink w:history="0" r:id="rId68" w:tooltip="&quot;Основы государственной политики в области экологического развития Российской Федерации на период до 2030 года&quot; (утв. Президентом РФ 30.04.2012) {КонсультантПлюс}">
        <w:r>
          <w:rPr>
            <w:sz w:val="20"/>
            <w:color w:val="0000ff"/>
          </w:rPr>
          <w:t xml:space="preserve">Основы</w:t>
        </w:r>
      </w:hyperlink>
      <w:r>
        <w:rPr>
          <w:sz w:val="20"/>
        </w:rPr>
        <w:t xml:space="preserve"> государственной политики в области экологического развития Российской Федерации на период до 2030 года, утвержденные Президентом Российской Федерации 30 апреля 2012 года;</w:t>
      </w:r>
    </w:p>
    <w:p>
      <w:pPr>
        <w:pStyle w:val="0"/>
        <w:spacing w:before="200" w:lineRule="auto"/>
        <w:ind w:firstLine="540"/>
        <w:jc w:val="both"/>
      </w:pPr>
      <w:hyperlink w:history="0" r:id="rId69" w:tooltip="Распоряжение Правительства РФ от 25.12.2012 N 2524-р (ред. от 24.10.2018) &lt;Об утверждении Стратегии долгосрочного развития пенсионной системы Российской Федерации&gt; {КонсультантПлюс}">
        <w:r>
          <w:rPr>
            <w:sz w:val="20"/>
            <w:color w:val="0000ff"/>
          </w:rPr>
          <w:t xml:space="preserve">Стратегия</w:t>
        </w:r>
      </w:hyperlink>
      <w:r>
        <w:rPr>
          <w:sz w:val="20"/>
        </w:rPr>
        <w:t xml:space="preserve"> долгосрочного развития пенсионной системы Российской Федерации, утвержденная распоряжением Правительства Российской Федерации от 25 декабря 2012 г. N 2524-р;</w:t>
      </w:r>
    </w:p>
    <w:p>
      <w:pPr>
        <w:pStyle w:val="0"/>
        <w:spacing w:before="200" w:lineRule="auto"/>
        <w:ind w:firstLine="540"/>
        <w:jc w:val="both"/>
      </w:pPr>
      <w:hyperlink w:history="0" r:id="rId70" w:tooltip="Распоряжение Правительства РФ от 03.04.2013 N 511-р (ред. от 29.11.2017) &lt;Об утверждении Стратегии развития электросетевого комплекса Российской Федерации&gt; {КонсультантПлюс}">
        <w:r>
          <w:rPr>
            <w:sz w:val="20"/>
            <w:color w:val="0000ff"/>
          </w:rPr>
          <w:t xml:space="preserve">Стратегия</w:t>
        </w:r>
      </w:hyperlink>
      <w:r>
        <w:rPr>
          <w:sz w:val="20"/>
        </w:rPr>
        <w:t xml:space="preserve"> развития электросетевого комплекса Российской Федерации, утвержденная распоряжением Правительства Российской Федерации от 3 апреля 2013 г. N 511-р;</w:t>
      </w:r>
    </w:p>
    <w:p>
      <w:pPr>
        <w:pStyle w:val="0"/>
        <w:spacing w:before="200" w:lineRule="auto"/>
        <w:ind w:firstLine="540"/>
        <w:jc w:val="both"/>
      </w:pPr>
      <w:hyperlink w:history="0" r:id="rId71" w:tooltip="Распоряжение Правительства РФ от 17.02.2014 N 212-р &lt;Об утверждении Стратегии сохранения редких и находящихся под угрозой исчезновения видов животных, растений и грибов в Российской Федерации на период до 2030 года&gt; {КонсультантПлюс}">
        <w:r>
          <w:rPr>
            <w:sz w:val="20"/>
            <w:color w:val="0000ff"/>
          </w:rPr>
          <w:t xml:space="preserve">Стратегия</w:t>
        </w:r>
      </w:hyperlink>
      <w:r>
        <w:rPr>
          <w:sz w:val="20"/>
        </w:rPr>
        <w:t xml:space="preserve"> сохранения редких и находящихся под угрозой исчезновения видов животных, растений и грибов в Российской Федерации на период до 2030 года, утвержденная распоряжением Правительства Российской Федерации от 17 февраля 2014 г. N 212-р;</w:t>
      </w:r>
    </w:p>
    <w:p>
      <w:pPr>
        <w:pStyle w:val="0"/>
        <w:spacing w:before="200" w:lineRule="auto"/>
        <w:ind w:firstLine="540"/>
        <w:jc w:val="both"/>
      </w:pPr>
      <w:hyperlink w:history="0" r:id="rId72" w:tooltip="Распоряжение Правительства РФ от 03.07.2014 N 1216-р &lt;Об утверждении Стратегии развития охотничьего хозяйства в Российской Федерации до 2030 года&gt; {КонсультантПлюс}">
        <w:r>
          <w:rPr>
            <w:sz w:val="20"/>
            <w:color w:val="0000ff"/>
          </w:rPr>
          <w:t xml:space="preserve">Стратегия</w:t>
        </w:r>
      </w:hyperlink>
      <w:r>
        <w:rPr>
          <w:sz w:val="20"/>
        </w:rPr>
        <w:t xml:space="preserve"> развития охотничьего хозяйства в Российской Федерации до 2030 года, утвержденная распоряжением Правительства Российской Федерации от 3 июля 2014 г. N 1216-р;</w:t>
      </w:r>
    </w:p>
    <w:p>
      <w:pPr>
        <w:pStyle w:val="0"/>
        <w:spacing w:before="200" w:lineRule="auto"/>
        <w:ind w:firstLine="540"/>
        <w:jc w:val="both"/>
      </w:pPr>
      <w:hyperlink w:history="0" r:id="rId73" w:tooltip="Распоряжение Правительства РФ от 02.02.2015 N 151-р (ред. от 13.01.2017) &lt;Об утверждении Стратегии устойчивого развития сельских территорий Российской Федерации на период до 2030 года&gt; {КонсультантПлюс}">
        <w:r>
          <w:rPr>
            <w:sz w:val="20"/>
            <w:color w:val="0000ff"/>
          </w:rPr>
          <w:t xml:space="preserve">Стратегия</w:t>
        </w:r>
      </w:hyperlink>
      <w:r>
        <w:rPr>
          <w:sz w:val="20"/>
        </w:rPr>
        <w:t xml:space="preserve"> устойчивого развития сельских территорий Российской Федерации на период до 2030 года, утвержденная распоряжением Правительства Российской Федерации от 2 февраля 2015 г. N 151-р;</w:t>
      </w:r>
    </w:p>
    <w:p>
      <w:pPr>
        <w:pStyle w:val="0"/>
        <w:spacing w:before="200" w:lineRule="auto"/>
        <w:ind w:firstLine="540"/>
        <w:jc w:val="both"/>
      </w:pPr>
      <w:hyperlink w:history="0" r:id="rId74" w:tooltip="Распоряжение Правительства РФ от 10.05.2016 N 868-р (ред. от 23.11.2016) &lt;О Стратегии развития промышленности строительных материалов на период до 2020 года и дальнейшую перспективу до 2030 года&gt; {КонсультантПлюс}">
        <w:r>
          <w:rPr>
            <w:sz w:val="20"/>
            <w:color w:val="0000ff"/>
          </w:rPr>
          <w:t xml:space="preserve">Стратегия</w:t>
        </w:r>
      </w:hyperlink>
      <w:r>
        <w:rPr>
          <w:sz w:val="20"/>
        </w:rPr>
        <w:t xml:space="preserve"> развития промышленности строительных материалов на период до 2020 года и дальнейшую перспективу до 2030 года, утвержденная распоряжением Правительства Российской Федерации от 10 мая 2016 г. N 868-р;</w:t>
      </w:r>
    </w:p>
    <w:p>
      <w:pPr>
        <w:pStyle w:val="0"/>
        <w:spacing w:before="200" w:lineRule="auto"/>
        <w:ind w:firstLine="540"/>
        <w:jc w:val="both"/>
      </w:pPr>
      <w:hyperlink w:history="0" r:id="rId75" w:tooltip="Распоряжение Правительства РФ от 02.06.2016 N 1083-р (ред. от 30.03.2018) &lt;Об утверждении Стратегии развития малого и среднего предпринимательства в Российской Федерации на период до 2030 года&gt; (вместе с &quot;Планом мероприятий (&quot;дорожной картой&quot;) по реализации Стратегии развития малого и среднего предпринимательства в Российской Федерации на период до 2030 года&quot;) {КонсультантПлюс}">
        <w:r>
          <w:rPr>
            <w:sz w:val="20"/>
            <w:color w:val="0000ff"/>
          </w:rPr>
          <w:t xml:space="preserve">Стратегия</w:t>
        </w:r>
      </w:hyperlink>
      <w:r>
        <w:rPr>
          <w:sz w:val="20"/>
        </w:rPr>
        <w:t xml:space="preserve"> развития малого и среднего предпринимательства в Российской Федерации на период до 2030 года, утвержденная распоряжением Правительства Российской Федерации от 2 июня 2016 г. N 1083-р;</w:t>
      </w:r>
    </w:p>
    <w:p>
      <w:pPr>
        <w:pStyle w:val="0"/>
        <w:spacing w:before="200" w:lineRule="auto"/>
        <w:ind w:firstLine="540"/>
        <w:jc w:val="both"/>
      </w:pPr>
      <w:hyperlink w:history="0" r:id="rId76" w:tooltip="Распоряжение Правительства РФ от 07.07.2017 N 1455-р &lt;Об утверждении Стратегии развития сельскохозяйственного машиностроения России на период до 2030 года&gt; {КонсультантПлюс}">
        <w:r>
          <w:rPr>
            <w:sz w:val="20"/>
            <w:color w:val="0000ff"/>
          </w:rPr>
          <w:t xml:space="preserve">Стратегия</w:t>
        </w:r>
      </w:hyperlink>
      <w:r>
        <w:rPr>
          <w:sz w:val="20"/>
        </w:rPr>
        <w:t xml:space="preserve"> развития сельскохозяйственного машиностроения России на период до 2030 года, утвержденная распоряжением Правительства Российской Федерации от 7 июля 2017 г. N 1455-р;</w:t>
      </w:r>
    </w:p>
    <w:p>
      <w:pPr>
        <w:pStyle w:val="0"/>
        <w:spacing w:before="200" w:lineRule="auto"/>
        <w:ind w:firstLine="540"/>
        <w:jc w:val="both"/>
      </w:pPr>
      <w:hyperlink w:history="0" r:id="rId77" w:tooltip="Распоряжение Правительства РФ от 17.08.2017 N 1756-р (ред. от 13.10.2022) &lt;Об утверждении Стратегии развития транспортного машиностроения Российской Федерации на период до 2030 года&gt; (вместе с &quot;Планом мероприятий по реализации Стратегии развития транспортного машиностроения Российской Федерации на период до 2030 года&quot;) {КонсультантПлюс}">
        <w:r>
          <w:rPr>
            <w:sz w:val="20"/>
            <w:color w:val="0000ff"/>
          </w:rPr>
          <w:t xml:space="preserve">Стратегия</w:t>
        </w:r>
      </w:hyperlink>
      <w:r>
        <w:rPr>
          <w:sz w:val="20"/>
        </w:rPr>
        <w:t xml:space="preserve"> развития транспортного машиностроения Российской Федерации на период до 2030 года, утвержденная распоряжением Правительства Российской Федерации от 17 августа 2017 г. N 1756-р;</w:t>
      </w:r>
    </w:p>
    <w:p>
      <w:pPr>
        <w:pStyle w:val="0"/>
        <w:spacing w:before="200" w:lineRule="auto"/>
        <w:ind w:firstLine="540"/>
        <w:jc w:val="both"/>
      </w:pPr>
      <w:hyperlink w:history="0" r:id="rId78" w:tooltip="Распоряжение Правительства РФ от 28.08.2017 N 1837-р &lt;Об утверждении Стратегии государственной политики РФ в области защиты прав потребителей на период до 2030 года&gt; {КонсультантПлюс}">
        <w:r>
          <w:rPr>
            <w:sz w:val="20"/>
            <w:color w:val="0000ff"/>
          </w:rPr>
          <w:t xml:space="preserve">Стратегия</w:t>
        </w:r>
      </w:hyperlink>
      <w:r>
        <w:rPr>
          <w:sz w:val="20"/>
        </w:rPr>
        <w:t xml:space="preserve"> государственной политики Российской Федерации в области защиты прав потребителей на период до 2030 года, утвержденная распоряжением Правительства Российской Федерации от 28 августа 2017 г. N 1837-р;</w:t>
      </w:r>
    </w:p>
    <w:p>
      <w:pPr>
        <w:pStyle w:val="0"/>
        <w:spacing w:before="200" w:lineRule="auto"/>
        <w:ind w:firstLine="540"/>
        <w:jc w:val="both"/>
      </w:pPr>
      <w:hyperlink w:history="0" r:id="rId79" w:tooltip="Распоряжение Правительства РФ от 31.08.2017 N 1878-р &lt;Об утверждении Стратегии развития экспорта продукции железнодорожного машиностроения&gt; (вместе с &quot;Планом мероприятий по реализации Стратегии развития экспорта продукции железнодорожного машиностроения&quot;) {КонсультантПлюс}">
        <w:r>
          <w:rPr>
            <w:sz w:val="20"/>
            <w:color w:val="0000ff"/>
          </w:rPr>
          <w:t xml:space="preserve">Стратегия</w:t>
        </w:r>
      </w:hyperlink>
      <w:r>
        <w:rPr>
          <w:sz w:val="20"/>
        </w:rPr>
        <w:t xml:space="preserve"> развития экспорта продукции железнодорожного машиностроения, утвержденная распоряжением Правительства Российской Федерации от 31 августа 2017 г. N 1878-р;</w:t>
      </w:r>
    </w:p>
    <w:p>
      <w:pPr>
        <w:pStyle w:val="0"/>
        <w:spacing w:before="200" w:lineRule="auto"/>
        <w:ind w:firstLine="540"/>
        <w:jc w:val="both"/>
      </w:pPr>
      <w:hyperlink w:history="0" r:id="rId80" w:tooltip="Распоряжение Правительства РФ от 31.08.2017 N 1878-р &lt;Об утверждении Стратегии развития экспорта продукции железнодорожного машиностроения&gt; (вместе с &quot;Планом мероприятий по реализации Стратегии развития экспорта продукции железнодорожного машиностроения&quot;) {КонсультантПлюс}">
        <w:r>
          <w:rPr>
            <w:sz w:val="20"/>
            <w:color w:val="0000ff"/>
          </w:rPr>
          <w:t xml:space="preserve">план</w:t>
        </w:r>
      </w:hyperlink>
      <w:r>
        <w:rPr>
          <w:sz w:val="20"/>
        </w:rPr>
        <w:t xml:space="preserve"> мероприятий по реализации Стратегии развития экспорта продукции железнодорожного машиностроения", утвержденный распоряжением Правительства Российской Федерации от 31 августа 2017 г. N 1878-р;</w:t>
      </w:r>
    </w:p>
    <w:p>
      <w:pPr>
        <w:pStyle w:val="0"/>
        <w:spacing w:before="200" w:lineRule="auto"/>
        <w:ind w:firstLine="540"/>
        <w:jc w:val="both"/>
      </w:pPr>
      <w:hyperlink w:history="0" r:id="rId81" w:tooltip="Распоряжение Правительства РФ от 03.06.2019 N 1188-р (ред. от 11.12.2024) &lt;Об утверждении Стратегии развития спортивной индустрии до 2035 года&gt; {КонсультантПлюс}">
        <w:r>
          <w:rPr>
            <w:sz w:val="20"/>
            <w:color w:val="0000ff"/>
          </w:rPr>
          <w:t xml:space="preserve">Стратегия</w:t>
        </w:r>
      </w:hyperlink>
      <w:r>
        <w:rPr>
          <w:sz w:val="20"/>
        </w:rPr>
        <w:t xml:space="preserve"> развития спортивной индустрии до 2035 года, утвержденная распоряжением Правительства Российской Федерации от 3 июня 2019 г. N 1188-р;</w:t>
      </w:r>
    </w:p>
    <w:p>
      <w:pPr>
        <w:pStyle w:val="0"/>
        <w:spacing w:before="200" w:lineRule="auto"/>
        <w:ind w:firstLine="540"/>
        <w:jc w:val="both"/>
      </w:pPr>
      <w:r>
        <w:rPr>
          <w:sz w:val="20"/>
        </w:rPr>
        <w:t xml:space="preserve">Долгосрочная </w:t>
      </w:r>
      <w:hyperlink w:history="0" r:id="rId82" w:tooltip="Распоряжение Правительства РФ от 10.08.2019 N 1796-р (ред. от 13.10.2022) &lt;Об утверждении Долгосрочной стратегии развития зернового комплекса Российской Федерации до 2035 года&gt; {КонсультантПлюс}">
        <w:r>
          <w:rPr>
            <w:sz w:val="20"/>
            <w:color w:val="0000ff"/>
          </w:rPr>
          <w:t xml:space="preserve">стратегия</w:t>
        </w:r>
      </w:hyperlink>
      <w:r>
        <w:rPr>
          <w:sz w:val="20"/>
        </w:rPr>
        <w:t xml:space="preserve"> развития зернового комплекса Российской Федерации до 2035 года, утвержденная распоряжением Правительства Российской Федерации от 10 августа 2019 г. N 1796-р;</w:t>
      </w:r>
    </w:p>
    <w:p>
      <w:pPr>
        <w:pStyle w:val="0"/>
        <w:spacing w:before="200" w:lineRule="auto"/>
        <w:ind w:firstLine="540"/>
        <w:jc w:val="both"/>
      </w:pPr>
      <w:hyperlink w:history="0" r:id="rId83" w:tooltip="Распоряжение Правительства РФ от 30.08.2019 N 1931-р &lt;Об утверждении Стратегии развития машиностроения для пищевой и перерабатывающей промышленности России на период до 2030 года&gt; (вместе со &quot;Стратегией развития машиностроения для пищевой и перерабатывающей промышленности Российской Федерации на период до 2030 года&quot;) {КонсультантПлюс}">
        <w:r>
          <w:rPr>
            <w:sz w:val="20"/>
            <w:color w:val="0000ff"/>
          </w:rPr>
          <w:t xml:space="preserve">Стратегия</w:t>
        </w:r>
      </w:hyperlink>
      <w:r>
        <w:rPr>
          <w:sz w:val="20"/>
        </w:rPr>
        <w:t xml:space="preserve"> развития машиностроения для пищевой и перерабатывающей промышленности России на период до 2030 года, утвержденная распоряжением Правительства Российской Федерации от 30 августа 2019 г. N 1931-р;</w:t>
      </w:r>
    </w:p>
    <w:p>
      <w:pPr>
        <w:pStyle w:val="0"/>
        <w:spacing w:before="200" w:lineRule="auto"/>
        <w:ind w:firstLine="540"/>
        <w:jc w:val="both"/>
      </w:pPr>
      <w:hyperlink w:history="0" r:id="rId84" w:tooltip="Распоряжение Правительства РФ от 20.09.2019 N 2129-р (ред. от 29.05.2025) &lt;Об утверждении Стратегии развития туризма в Российской Федерации на период до 2035 года&gt; {КонсультантПлюс}">
        <w:r>
          <w:rPr>
            <w:sz w:val="20"/>
            <w:color w:val="0000ff"/>
          </w:rPr>
          <w:t xml:space="preserve">Стратегия</w:t>
        </w:r>
      </w:hyperlink>
      <w:r>
        <w:rPr>
          <w:sz w:val="20"/>
        </w:rPr>
        <w:t xml:space="preserve"> развития туризма в Российской Федерации на период до 2035 года, утвержденная распоряжением Правительства Российской Федерации от 20 сентября 2019 г. N 2129-р;</w:t>
      </w:r>
    </w:p>
    <w:p>
      <w:pPr>
        <w:pStyle w:val="0"/>
        <w:spacing w:before="200" w:lineRule="auto"/>
        <w:ind w:firstLine="540"/>
        <w:jc w:val="both"/>
      </w:pPr>
      <w:hyperlink w:history="0" r:id="rId85" w:tooltip="Распоряжение Правительства РФ от 17.01.2020 N 20-р (ред. от 21.10.2024) &lt;Об утверждении Стратегии развития электронной промышленности Российской Федерации на период до 2030 года&gt; {КонсультантПлюс}">
        <w:r>
          <w:rPr>
            <w:sz w:val="20"/>
            <w:color w:val="0000ff"/>
          </w:rPr>
          <w:t xml:space="preserve">Стратегия</w:t>
        </w:r>
      </w:hyperlink>
      <w:r>
        <w:rPr>
          <w:sz w:val="20"/>
        </w:rPr>
        <w:t xml:space="preserve"> развития электронной промышленности Российской Федерации на период до 2030 года, утвержденная распоряжением Правительства Российской Федерации от 17 января 2020 г. N 20-р;</w:t>
      </w:r>
    </w:p>
    <w:p>
      <w:pPr>
        <w:pStyle w:val="0"/>
        <w:spacing w:before="200" w:lineRule="auto"/>
        <w:ind w:firstLine="540"/>
        <w:jc w:val="both"/>
      </w:pPr>
      <w:hyperlink w:history="0" r:id="rId86" w:tooltip="Распоряжение Правительства РФ от 23.05.2020 N 1388-р (ред. от 12.07.2024) &lt;Стратегия развития таможенной службы Российской Федерации до 2030 года&gt; {КонсультантПлюс}">
        <w:r>
          <w:rPr>
            <w:sz w:val="20"/>
            <w:color w:val="0000ff"/>
          </w:rPr>
          <w:t xml:space="preserve">Стратегия</w:t>
        </w:r>
      </w:hyperlink>
      <w:r>
        <w:rPr>
          <w:sz w:val="20"/>
        </w:rPr>
        <w:t xml:space="preserve"> развития таможенной службы Российской Федерации до 2030 года, утвержденная распоряжением Правительства Российской Федерации от 23 мая 2020 г. N 1388-р;</w:t>
      </w:r>
    </w:p>
    <w:p>
      <w:pPr>
        <w:pStyle w:val="0"/>
        <w:spacing w:before="200" w:lineRule="auto"/>
        <w:ind w:firstLine="540"/>
        <w:jc w:val="both"/>
      </w:pPr>
      <w:hyperlink w:history="0" r:id="rId87" w:tooltip="Распоряжение Правительства РФ от 24.11.2020 N 3081-р (ред. от 07.02.2026) &lt;Об утверждении Стратегии развития физической культуры и спорта в Российской Федерации на период до 2030 года&gt; {КонсультантПлюс}">
        <w:r>
          <w:rPr>
            <w:sz w:val="20"/>
            <w:color w:val="0000ff"/>
          </w:rPr>
          <w:t xml:space="preserve">Стратегия</w:t>
        </w:r>
      </w:hyperlink>
      <w:r>
        <w:rPr>
          <w:sz w:val="20"/>
        </w:rPr>
        <w:t xml:space="preserve"> развития физической культуры и спорта в Российской Федерации на период до 2030 года, утвержденная распоряжением Правительства Российской Федерации от 24 ноября 2020 г. N 3081-р;</w:t>
      </w:r>
    </w:p>
    <w:p>
      <w:pPr>
        <w:pStyle w:val="0"/>
        <w:spacing w:before="200" w:lineRule="auto"/>
        <w:ind w:firstLine="540"/>
        <w:jc w:val="both"/>
      </w:pPr>
      <w:hyperlink w:history="0" r:id="rId88" w:tooltip="Распоряжение Правительства РФ от 11.02.2021 N 312-р &lt;Об утверждении Стратегии развития лесного комплекса Российской Федерации до 2030 года&gt; {КонсультантПлюс}">
        <w:r>
          <w:rPr>
            <w:sz w:val="20"/>
            <w:color w:val="0000ff"/>
          </w:rPr>
          <w:t xml:space="preserve">Стратегия</w:t>
        </w:r>
      </w:hyperlink>
      <w:r>
        <w:rPr>
          <w:sz w:val="20"/>
        </w:rPr>
        <w:t xml:space="preserve"> развития лесного комплекса Российской Федерации до 2030 года, утвержденная распоряжением Правительства Российской Федерации от 11 февраля 2021 г. N 312-р;</w:t>
      </w:r>
    </w:p>
    <w:p>
      <w:pPr>
        <w:pStyle w:val="0"/>
        <w:spacing w:before="200" w:lineRule="auto"/>
        <w:ind w:firstLine="540"/>
        <w:jc w:val="both"/>
      </w:pPr>
      <w:hyperlink w:history="0" r:id="rId89" w:tooltip="Распоряжение Правительства РФ от 06.10.2021 N 2816-р (ред. от 06.10.2025) &lt;Об утверждении перечня инициатив социально-экономического развития Российской Федерации до 2030 года&gt; {КонсультантПлюс}">
        <w:r>
          <w:rPr>
            <w:sz w:val="20"/>
            <w:color w:val="0000ff"/>
          </w:rPr>
          <w:t xml:space="preserve">Перечень</w:t>
        </w:r>
      </w:hyperlink>
      <w:r>
        <w:rPr>
          <w:sz w:val="20"/>
        </w:rPr>
        <w:t xml:space="preserve"> инициатив социально-экономического развития Российской Федерации до 2030 года, утвержденных распоряжением Правительства Российской Федерации от 6 октября 2021 г. N 2816-р;</w:t>
      </w:r>
    </w:p>
    <w:p>
      <w:pPr>
        <w:pStyle w:val="0"/>
        <w:spacing w:before="200" w:lineRule="auto"/>
        <w:ind w:firstLine="540"/>
        <w:jc w:val="both"/>
      </w:pPr>
      <w:hyperlink w:history="0" r:id="rId90" w:tooltip="Распоряжение Правительства РФ от 29.10.2021 N 3052-р &lt;Об утверждении стратегии социально-экономического развития Российской Федерации с низким уровнем выбросов парниковых газов до 2050 года&gt; {КонсультантПлюс}">
        <w:r>
          <w:rPr>
            <w:sz w:val="20"/>
            <w:color w:val="0000ff"/>
          </w:rPr>
          <w:t xml:space="preserve">Стратегия</w:t>
        </w:r>
      </w:hyperlink>
      <w:r>
        <w:rPr>
          <w:sz w:val="20"/>
        </w:rPr>
        <w:t xml:space="preserve"> социально-экономического развития Российской Федерации с низким уровнем выбросов парниковых газов до 2050 года, утвержденная распоряжением Правительства Российской Федерации от 29 октября 2021 г. N 3052-р;</w:t>
      </w:r>
    </w:p>
    <w:p>
      <w:pPr>
        <w:pStyle w:val="0"/>
        <w:spacing w:before="200" w:lineRule="auto"/>
        <w:ind w:firstLine="540"/>
        <w:jc w:val="both"/>
      </w:pPr>
      <w:r>
        <w:rPr>
          <w:sz w:val="20"/>
        </w:rPr>
        <w:t xml:space="preserve">Транспортная </w:t>
      </w:r>
      <w:hyperlink w:history="0" r:id="rId91" w:tooltip="Распоряжение Правительства РФ от 27.11.2021 N 3363-р (ред. от 06.11.2024) &lt;О Транспортной стратегии Российской Федерации до 2030 года с прогнозом на период до 2035 года&gt; {КонсультантПлюс}">
        <w:r>
          <w:rPr>
            <w:sz w:val="20"/>
            <w:color w:val="0000ff"/>
          </w:rPr>
          <w:t xml:space="preserve">стратегия</w:t>
        </w:r>
      </w:hyperlink>
      <w:r>
        <w:rPr>
          <w:sz w:val="20"/>
        </w:rPr>
        <w:t xml:space="preserve"> Российской Федерации до 2030 года с прогнозом на период до 2035 года", утвержденная распоряжение Правительства Российской Федерации от 27 ноября 2021 г. N 3363-р;</w:t>
      </w:r>
    </w:p>
    <w:p>
      <w:pPr>
        <w:pStyle w:val="0"/>
        <w:spacing w:before="200" w:lineRule="auto"/>
        <w:ind w:firstLine="540"/>
        <w:jc w:val="both"/>
      </w:pPr>
      <w:hyperlink w:history="0" r:id="rId92" w:tooltip="Распоряжение Правительства РФ от 08.09.2022 N 2567-р (ред. от 19.12.2025) &lt;Об утверждении Стратегии развития агропромышленного и рыбохозяйственного комплексов Российской Федерации на период до 2030 года&gt; {КонсультантПлюс}">
        <w:r>
          <w:rPr>
            <w:sz w:val="20"/>
            <w:color w:val="0000ff"/>
          </w:rPr>
          <w:t xml:space="preserve">Стратегия</w:t>
        </w:r>
      </w:hyperlink>
      <w:r>
        <w:rPr>
          <w:sz w:val="20"/>
        </w:rPr>
        <w:t xml:space="preserve"> развития агропромышленного и рыбохозяйственного комплексов Российской Федерации на период до 2030 года, утвержденная распоряжением Правительства Российской Федерации от 8 сентября 2022 г. N 2567-р;</w:t>
      </w:r>
    </w:p>
    <w:p>
      <w:pPr>
        <w:pStyle w:val="0"/>
        <w:spacing w:before="200" w:lineRule="auto"/>
        <w:ind w:firstLine="540"/>
        <w:jc w:val="both"/>
      </w:pPr>
      <w:hyperlink w:history="0" r:id="rId93" w:tooltip="Распоряжение Правительства РФ от 31.10.2022 N 3268-р (ред. от 23.10.2025) &lt;Об утверждении Стратегии развития строительной отрасли и жилищно-коммунального хозяйства Российской Федерации на период до 2030 года с прогнозом до 2035 года&gt; {КонсультантПлюс}">
        <w:r>
          <w:rPr>
            <w:sz w:val="20"/>
            <w:color w:val="0000ff"/>
          </w:rPr>
          <w:t xml:space="preserve">Стратегия</w:t>
        </w:r>
      </w:hyperlink>
      <w:r>
        <w:rPr>
          <w:sz w:val="20"/>
        </w:rPr>
        <w:t xml:space="preserve"> развития строительной отрасли и жилищно-коммунального хозяйства Российской Федерации на период до 2030 года с прогнозом до 2035 года, утвержденная распоряжением Правительства Российской Федерации от 31 октября 2022 г. N 3268-р;</w:t>
      </w:r>
    </w:p>
    <w:p>
      <w:pPr>
        <w:pStyle w:val="0"/>
        <w:spacing w:before="200" w:lineRule="auto"/>
        <w:ind w:firstLine="540"/>
        <w:jc w:val="both"/>
      </w:pPr>
      <w:r>
        <w:rPr>
          <w:sz w:val="20"/>
        </w:rPr>
        <w:t xml:space="preserve">Национальная </w:t>
      </w:r>
      <w:hyperlink w:history="0" r:id="rId94" w:tooltip="Распоряжение Правительства РФ от 29.12.2022 N 4356-р &lt;Об утверждении Национальной стратегии действий в интересах женщин на 2023 - 2030 годы&gt; {КонсультантПлюс}">
        <w:r>
          <w:rPr>
            <w:sz w:val="20"/>
            <w:color w:val="0000ff"/>
          </w:rPr>
          <w:t xml:space="preserve">стратегия</w:t>
        </w:r>
      </w:hyperlink>
      <w:r>
        <w:rPr>
          <w:sz w:val="20"/>
        </w:rPr>
        <w:t xml:space="preserve"> действий в интересах женщин на 2023 - 2030 годы, утвержденная распоряжением Правительства Российской Федерации от 29 декабря 2022 г. N 4356-р;</w:t>
      </w:r>
    </w:p>
    <w:p>
      <w:pPr>
        <w:pStyle w:val="0"/>
        <w:spacing w:before="200" w:lineRule="auto"/>
        <w:ind w:firstLine="540"/>
        <w:jc w:val="both"/>
      </w:pPr>
      <w:hyperlink w:history="0" r:id="rId95" w:tooltip="Распоряжение Правительства РФ от 24.10.2023 N 2958-р (ред. от 15.10.2025) &lt;Об утверждении Стратегии повышения финансовой грамотности и формирования финансовой культуры до 2030 года&gt; {КонсультантПлюс}">
        <w:r>
          <w:rPr>
            <w:sz w:val="20"/>
            <w:color w:val="0000ff"/>
          </w:rPr>
          <w:t xml:space="preserve">Стратегия</w:t>
        </w:r>
      </w:hyperlink>
      <w:r>
        <w:rPr>
          <w:sz w:val="20"/>
        </w:rPr>
        <w:t xml:space="preserve"> повышения финансовой грамотности и формирования финансовой культуры до 2030 года, утвержденная распоряжением Правительства Российской Федерации от 24 октября 2023 г. N 2958-р;</w:t>
      </w:r>
    </w:p>
    <w:p>
      <w:pPr>
        <w:pStyle w:val="0"/>
        <w:spacing w:before="200" w:lineRule="auto"/>
        <w:ind w:firstLine="540"/>
        <w:jc w:val="both"/>
      </w:pPr>
      <w:hyperlink w:history="0" r:id="rId96" w:tooltip="Распоряжение Правительства РФ от 24.11.2023 N 3339-р &lt;Об утверждении Стратегии развития отрасли связи Российской Федерации на период до 2035 года&gt; {КонсультантПлюс}">
        <w:r>
          <w:rPr>
            <w:sz w:val="20"/>
            <w:color w:val="0000ff"/>
          </w:rPr>
          <w:t xml:space="preserve">Стратегия</w:t>
        </w:r>
      </w:hyperlink>
      <w:r>
        <w:rPr>
          <w:sz w:val="20"/>
        </w:rPr>
        <w:t xml:space="preserve"> развития отрасли связи Российской Федерации на период до 2035 года, утвержденная распоряжением Правительства Российской Федерации от 24 ноября 2023 г. N 3339-р;</w:t>
      </w:r>
    </w:p>
    <w:p>
      <w:pPr>
        <w:pStyle w:val="0"/>
        <w:spacing w:before="200" w:lineRule="auto"/>
        <w:ind w:firstLine="540"/>
        <w:jc w:val="both"/>
      </w:pPr>
      <w:r>
        <w:rPr>
          <w:sz w:val="20"/>
        </w:rPr>
        <w:t xml:space="preserve">Стратегическое </w:t>
      </w:r>
      <w:hyperlink w:history="0" r:id="rId97" w:tooltip="Распоряжение Правительства РФ от 16.03.2024 N 637-р &lt;Об утверждении стратегического направления в области цифровой трансформации государственного управления&gt; ------------ Утратил силу или отменен {КонсультантПлюс}">
        <w:r>
          <w:rPr>
            <w:sz w:val="20"/>
            <w:color w:val="0000ff"/>
          </w:rPr>
          <w:t xml:space="preserve">направление</w:t>
        </w:r>
      </w:hyperlink>
      <w:r>
        <w:rPr>
          <w:sz w:val="20"/>
        </w:rPr>
        <w:t xml:space="preserve"> в области цифровой трансформации государственного управления, утвержденном распоряжением Правительства Российской Федерации от 16 марта 2024 г. N 637-р;</w:t>
      </w:r>
    </w:p>
    <w:p>
      <w:pPr>
        <w:pStyle w:val="0"/>
        <w:spacing w:before="200" w:lineRule="auto"/>
        <w:ind w:firstLine="540"/>
        <w:jc w:val="both"/>
      </w:pPr>
      <w:hyperlink w:history="0" r:id="rId98" w:tooltip="Распоряжение Правительства РФ от 11.09.2024 N 2501-р (ред. от 30.04.2026) &lt;Об утверждении Стратегии государственной культурной политики на период до 2030 года&gt; {КонсультантПлюс}">
        <w:r>
          <w:rPr>
            <w:sz w:val="20"/>
            <w:color w:val="0000ff"/>
          </w:rPr>
          <w:t xml:space="preserve">Стратегия</w:t>
        </w:r>
      </w:hyperlink>
      <w:r>
        <w:rPr>
          <w:sz w:val="20"/>
        </w:rPr>
        <w:t xml:space="preserve"> государственной культурной политики на период до 2030 года, утвержденная распоряжением Правительства Российской Федерации от 11 сентября 2024 г. N 2501-р;</w:t>
      </w:r>
    </w:p>
    <w:p>
      <w:pPr>
        <w:pStyle w:val="0"/>
        <w:spacing w:before="200" w:lineRule="auto"/>
        <w:ind w:firstLine="540"/>
        <w:jc w:val="both"/>
      </w:pPr>
      <w:hyperlink w:history="0" r:id="rId99" w:tooltip="Распоряжение Правительства РФ от 28.12.2024 N 4146-р &lt;Об утверждении Стратегии пространственного развития Российской Федерации на период до 2030 года с прогнозом до 2036 года&gt; {КонсультантПлюс}">
        <w:r>
          <w:rPr>
            <w:sz w:val="20"/>
            <w:color w:val="0000ff"/>
          </w:rPr>
          <w:t xml:space="preserve">Стратегия</w:t>
        </w:r>
      </w:hyperlink>
      <w:r>
        <w:rPr>
          <w:sz w:val="20"/>
        </w:rPr>
        <w:t xml:space="preserve"> пространственного развития Российской Федерации на период до 2030 года с прогнозом до 2036 года, утвержденная распоряжением Правительства Российской Федерации от 28 декабря 2024 г. N 4146-р;</w:t>
      </w:r>
    </w:p>
    <w:p>
      <w:pPr>
        <w:pStyle w:val="0"/>
        <w:spacing w:before="200" w:lineRule="auto"/>
        <w:ind w:firstLine="540"/>
        <w:jc w:val="both"/>
      </w:pPr>
      <w:hyperlink w:history="0" r:id="rId100" w:tooltip="Распоряжение Правительства РФ от 15.03.2025 N 615-р (ред. от 30.04.2026) &lt;Об утверждении Стратегии действий по реализации семейной и демографической политики, поддержке многодетности в Российской Федерации до 2036 года&gt; {КонсультантПлюс}">
        <w:r>
          <w:rPr>
            <w:sz w:val="20"/>
            <w:color w:val="0000ff"/>
          </w:rPr>
          <w:t xml:space="preserve">Стратегия</w:t>
        </w:r>
      </w:hyperlink>
      <w:r>
        <w:rPr>
          <w:sz w:val="20"/>
        </w:rPr>
        <w:t xml:space="preserve"> действий по реализации семейной и демографической политики, поддержке многодетности в Российской Федерации до 2036 года", утвержденная распоряжением Правительства Российской Федерации от 15 марта 2025 г. N 615-р;</w:t>
      </w:r>
    </w:p>
    <w:p>
      <w:pPr>
        <w:pStyle w:val="0"/>
        <w:spacing w:before="200" w:lineRule="auto"/>
        <w:ind w:firstLine="540"/>
        <w:jc w:val="both"/>
      </w:pPr>
      <w:r>
        <w:rPr>
          <w:sz w:val="20"/>
        </w:rPr>
        <w:t xml:space="preserve">Энергетическая </w:t>
      </w:r>
      <w:hyperlink w:history="0" r:id="rId101" w:tooltip="Распоряжение Правительства РФ от 12.04.2025 N 908-р &lt;Об утверждении Энергетической стратегии Российской Федерации на период до 2050 года&gt; {КонсультантПлюс}">
        <w:r>
          <w:rPr>
            <w:sz w:val="20"/>
            <w:color w:val="0000ff"/>
          </w:rPr>
          <w:t xml:space="preserve">стратегия</w:t>
        </w:r>
      </w:hyperlink>
      <w:r>
        <w:rPr>
          <w:sz w:val="20"/>
        </w:rPr>
        <w:t xml:space="preserve"> Российской Федерации на период до 2050 года", утвержденная распоряжением Правительства Российской Федерации от 12 апреля 2025 г. N 908-р;</w:t>
      </w:r>
    </w:p>
    <w:p>
      <w:pPr>
        <w:pStyle w:val="0"/>
        <w:spacing w:before="200" w:lineRule="auto"/>
        <w:ind w:firstLine="540"/>
        <w:jc w:val="both"/>
      </w:pPr>
      <w:r>
        <w:rPr>
          <w:sz w:val="20"/>
        </w:rPr>
        <w:t xml:space="preserve">Бюджетный </w:t>
      </w:r>
      <w:hyperlink w:history="0" r:id="rId102" w:tooltip="Распоряжение Правительства РФ от 11.12.2025 N 3702-р &lt;Об утверждении Бюджетного прогноза Российской Федерации на период до 2042 года&gt; {КонсультантПлюс}">
        <w:r>
          <w:rPr>
            <w:sz w:val="20"/>
            <w:color w:val="0000ff"/>
          </w:rPr>
          <w:t xml:space="preserve">прогноз</w:t>
        </w:r>
      </w:hyperlink>
      <w:r>
        <w:rPr>
          <w:sz w:val="20"/>
        </w:rPr>
        <w:t xml:space="preserve"> Российской Федерации на период до 2042 года, утвержденный распоряжением Правительства Российской Федерации от 11 декабря 2025 г. N 3702-р;</w:t>
      </w:r>
    </w:p>
    <w:p>
      <w:pPr>
        <w:pStyle w:val="0"/>
        <w:spacing w:before="200" w:lineRule="auto"/>
        <w:ind w:firstLine="540"/>
        <w:jc w:val="both"/>
      </w:pPr>
      <w:r>
        <w:rPr>
          <w:sz w:val="20"/>
        </w:rPr>
        <w:t xml:space="preserve">Прогноз научно-технологического развития Российской Федерации на период до 2030 года, утвержденный Председателем Правительства Российской Федерации;</w:t>
      </w:r>
    </w:p>
    <w:p>
      <w:pPr>
        <w:pStyle w:val="0"/>
        <w:spacing w:before="200" w:lineRule="auto"/>
        <w:ind w:firstLine="540"/>
        <w:jc w:val="both"/>
      </w:pPr>
      <w:r>
        <w:rPr>
          <w:sz w:val="20"/>
        </w:rPr>
        <w:t xml:space="preserve">Единый план по достижению национальных целей развития Российской Федерации до 2030 года и на перспективу до 2036 года, утвержденный Правительством Российской Федерации;</w:t>
      </w:r>
    </w:p>
    <w:p>
      <w:pPr>
        <w:pStyle w:val="0"/>
        <w:spacing w:before="200" w:lineRule="auto"/>
        <w:ind w:firstLine="540"/>
        <w:jc w:val="both"/>
      </w:pPr>
      <w:r>
        <w:rPr>
          <w:sz w:val="20"/>
        </w:rPr>
        <w:t xml:space="preserve">Стратегия цифровой трансформации обрабатывающих отраслей промышленности в целях достижения их "цифровой зрелости" до 2024 года и на период до 2030 года, утвержденная Минпромторгом Российской Федерации;</w:t>
      </w:r>
    </w:p>
    <w:p>
      <w:pPr>
        <w:pStyle w:val="0"/>
        <w:spacing w:before="200" w:lineRule="auto"/>
        <w:ind w:firstLine="540"/>
        <w:jc w:val="both"/>
      </w:pPr>
      <w:r>
        <w:rPr>
          <w:sz w:val="20"/>
        </w:rPr>
        <w:t xml:space="preserve">Прогноз социально-экономического развития Российской Федерации на период до 2036 года, разработанный Минэкономразвития России;</w:t>
      </w:r>
    </w:p>
    <w:p>
      <w:pPr>
        <w:pStyle w:val="0"/>
        <w:spacing w:before="200" w:lineRule="auto"/>
        <w:ind w:firstLine="540"/>
        <w:jc w:val="both"/>
      </w:pPr>
      <w:hyperlink w:history="0" r:id="rId103" w:tooltip="Приказ Минэкономразвития России от 23.03.2017 N 132 (ред. от 26.11.2025) &quot;Об утверждении Методических рекомендаций по разработке и корректировке стратегии социально-экономического развития субъекта Российской Федерации и плана мероприятий по ее реализации&quot; {КонсультантПлюс}">
        <w:r>
          <w:rPr>
            <w:sz w:val="20"/>
            <w:color w:val="0000ff"/>
          </w:rPr>
          <w:t xml:space="preserve">Приказ</w:t>
        </w:r>
      </w:hyperlink>
      <w:r>
        <w:rPr>
          <w:sz w:val="20"/>
        </w:rPr>
        <w:t xml:space="preserve"> Министерства экономического развития Российской Федерации от 23 марта 2017 г. N 132 "Об утверждении Методических рекомендаций по разработке и корректировке стратегии социально-экономического развития субъекта Российской Федерации и плана мероприятий по ее реализации";</w:t>
      </w:r>
    </w:p>
    <w:p>
      <w:pPr>
        <w:pStyle w:val="0"/>
        <w:spacing w:before="200" w:lineRule="auto"/>
        <w:ind w:firstLine="540"/>
        <w:jc w:val="both"/>
      </w:pPr>
      <w:hyperlink w:history="0" r:id="rId104" w:tooltip="Закон Тульской области от 26.02.2016 N 8-ЗТО (ред. от 29.11.2022) &quot;О стратегическом планировании в Тульской области&quot; (принят Тульской областной Думой 25.02.2016) {КонсультантПлюс}">
        <w:r>
          <w:rPr>
            <w:sz w:val="20"/>
            <w:color w:val="0000ff"/>
          </w:rPr>
          <w:t xml:space="preserve">Закон</w:t>
        </w:r>
      </w:hyperlink>
      <w:r>
        <w:rPr>
          <w:sz w:val="20"/>
        </w:rPr>
        <w:t xml:space="preserve"> Тульской области от 26 февраля 2016 года N 8-ЗТО "О стратегическом планировании в Тульской области";</w:t>
      </w:r>
    </w:p>
    <w:p>
      <w:pPr>
        <w:pStyle w:val="0"/>
        <w:spacing w:before="200" w:lineRule="auto"/>
        <w:ind w:firstLine="540"/>
        <w:jc w:val="both"/>
      </w:pPr>
      <w:hyperlink w:history="0" r:id="rId105" w:tooltip="Указ Губернатора Тульской области от 25.12.2024 N 182 &quot;Об утверждении Основных направлений деятельности Правительства Тульской области на период до 2030 года&quot; {КонсультантПлюс}">
        <w:r>
          <w:rPr>
            <w:sz w:val="20"/>
            <w:color w:val="0000ff"/>
          </w:rPr>
          <w:t xml:space="preserve">Указ</w:t>
        </w:r>
      </w:hyperlink>
      <w:r>
        <w:rPr>
          <w:sz w:val="20"/>
        </w:rPr>
        <w:t xml:space="preserve"> Губернатора Тульской области от 25 декабря 2024 года N 182 "Об утверждении Основных направлений деятельности Правительства Тульской области на период до 2030 года";</w:t>
      </w:r>
    </w:p>
    <w:p>
      <w:pPr>
        <w:pStyle w:val="0"/>
        <w:spacing w:before="200" w:lineRule="auto"/>
        <w:ind w:firstLine="540"/>
        <w:jc w:val="both"/>
      </w:pPr>
      <w:hyperlink w:history="0" r:id="rId106" w:tooltip="Постановление правительства Тульской области от 08.04.2016 N 140 (ред. от 27.01.2023) &quot;О мерах по реализации отдельных положений Закона Тульской области от 26 февраля 2016 года N 8-ЗТО &quot;О стратегическом планировании в Тульской области&quot; (вместе с &quot;Порядком разработки и корректировки Стратегии социально-экономического развития Тульской области&quot;, &quot;Порядком осуществления мониторинга реализации документов стратегического планирования и подготовки документов, в которых отражаются результаты мониторинга документов {КонсультантПлюс}">
        <w:r>
          <w:rPr>
            <w:sz w:val="20"/>
            <w:color w:val="0000ff"/>
          </w:rPr>
          <w:t xml:space="preserve">Постановление</w:t>
        </w:r>
      </w:hyperlink>
      <w:r>
        <w:rPr>
          <w:sz w:val="20"/>
        </w:rPr>
        <w:t xml:space="preserve"> правительства Тульской области от 08.04.2016 N 140 "О мерах по реализации отдельных положений Закона Тульской области от 26 февраля 2016 года N 8-ЗТО "О стратегическом планировании в Тульской области".</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2</w:t>
      </w:r>
    </w:p>
    <w:p>
      <w:pPr>
        <w:pStyle w:val="0"/>
        <w:jc w:val="right"/>
      </w:pPr>
      <w:r>
        <w:rPr>
          <w:sz w:val="20"/>
        </w:rPr>
        <w:t xml:space="preserve">к стратегии социально-экономического развития</w:t>
      </w:r>
    </w:p>
    <w:p>
      <w:pPr>
        <w:pStyle w:val="0"/>
        <w:jc w:val="right"/>
      </w:pPr>
      <w:r>
        <w:rPr>
          <w:sz w:val="20"/>
        </w:rPr>
        <w:t xml:space="preserve">Тульской области до 2030 года</w:t>
      </w:r>
    </w:p>
    <w:p>
      <w:pPr>
        <w:pStyle w:val="0"/>
        <w:jc w:val="right"/>
      </w:pPr>
      <w:r>
        <w:rPr>
          <w:sz w:val="20"/>
        </w:rPr>
        <w:t xml:space="preserve">с перспективой до 2036 года</w:t>
      </w:r>
    </w:p>
    <w:p>
      <w:pPr>
        <w:pStyle w:val="0"/>
      </w:pPr>
      <w:r>
        <w:rPr>
          <w:sz w:val="20"/>
        </w:rPr>
      </w:r>
    </w:p>
    <w:bookmarkStart w:id="2772" w:name="P2772"/>
    <w:bookmarkEnd w:id="2772"/>
    <w:p>
      <w:pPr>
        <w:pStyle w:val="2"/>
        <w:jc w:val="center"/>
      </w:pPr>
      <w:r>
        <w:rPr>
          <w:sz w:val="20"/>
        </w:rPr>
        <w:t xml:space="preserve">РЕЗУЛЬТАТЫ (ИНДИКАТОРЫ)</w:t>
      </w:r>
    </w:p>
    <w:p>
      <w:pPr>
        <w:pStyle w:val="2"/>
        <w:jc w:val="center"/>
      </w:pPr>
      <w:r>
        <w:rPr>
          <w:sz w:val="20"/>
        </w:rPr>
        <w:t xml:space="preserve">реализации стратегии социально-экономического развития</w:t>
      </w:r>
    </w:p>
    <w:p>
      <w:pPr>
        <w:pStyle w:val="2"/>
        <w:jc w:val="center"/>
      </w:pPr>
      <w:r>
        <w:rPr>
          <w:sz w:val="20"/>
        </w:rPr>
        <w:t xml:space="preserve">Тульской области до 2030 года с перспективой до 2036 года</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29"/>
        <w:gridCol w:w="4082"/>
        <w:gridCol w:w="1361"/>
        <w:gridCol w:w="1361"/>
        <w:gridCol w:w="1304"/>
      </w:tblGrid>
      <w:tr>
        <w:tc>
          <w:tcPr>
            <w:tcW w:w="929" w:type="dxa"/>
          </w:tcPr>
          <w:p>
            <w:pPr>
              <w:pStyle w:val="0"/>
              <w:jc w:val="center"/>
            </w:pPr>
            <w:r>
              <w:rPr>
                <w:sz w:val="20"/>
              </w:rPr>
              <w:t xml:space="preserve">N</w:t>
            </w:r>
          </w:p>
        </w:tc>
        <w:tc>
          <w:tcPr>
            <w:tcW w:w="4082" w:type="dxa"/>
          </w:tcPr>
          <w:p>
            <w:pPr>
              <w:pStyle w:val="0"/>
              <w:jc w:val="center"/>
            </w:pPr>
            <w:r>
              <w:rPr>
                <w:sz w:val="20"/>
              </w:rPr>
              <w:t xml:space="preserve">Наименование показателя</w:t>
            </w:r>
          </w:p>
        </w:tc>
        <w:tc>
          <w:tcPr>
            <w:tcW w:w="1361" w:type="dxa"/>
          </w:tcPr>
          <w:p>
            <w:pPr>
              <w:pStyle w:val="0"/>
              <w:jc w:val="center"/>
            </w:pPr>
            <w:r>
              <w:rPr>
                <w:sz w:val="20"/>
              </w:rPr>
              <w:t xml:space="preserve">Ед. изм.</w:t>
            </w:r>
          </w:p>
        </w:tc>
        <w:tc>
          <w:tcPr>
            <w:tcW w:w="1361" w:type="dxa"/>
          </w:tcPr>
          <w:p>
            <w:pPr>
              <w:pStyle w:val="0"/>
              <w:jc w:val="center"/>
            </w:pPr>
            <w:r>
              <w:rPr>
                <w:sz w:val="20"/>
              </w:rPr>
              <w:t xml:space="preserve">2025 (база)</w:t>
            </w:r>
          </w:p>
        </w:tc>
        <w:tc>
          <w:tcPr>
            <w:tcW w:w="1304" w:type="dxa"/>
          </w:tcPr>
          <w:p>
            <w:pPr>
              <w:pStyle w:val="0"/>
              <w:jc w:val="center"/>
            </w:pPr>
            <w:r>
              <w:rPr>
                <w:sz w:val="20"/>
              </w:rPr>
              <w:t xml:space="preserve">2030</w:t>
            </w:r>
          </w:p>
        </w:tc>
      </w:tr>
      <w:tr>
        <w:tc>
          <w:tcPr>
            <w:tcW w:w="929" w:type="dxa"/>
          </w:tcPr>
          <w:p>
            <w:pPr>
              <w:pStyle w:val="0"/>
              <w:jc w:val="center"/>
            </w:pPr>
            <w:r>
              <w:rPr>
                <w:sz w:val="20"/>
              </w:rPr>
              <w:t xml:space="preserve">1</w:t>
            </w:r>
          </w:p>
        </w:tc>
        <w:tc>
          <w:tcPr>
            <w:tcW w:w="4082" w:type="dxa"/>
          </w:tcPr>
          <w:p>
            <w:pPr>
              <w:pStyle w:val="0"/>
            </w:pPr>
            <w:r>
              <w:rPr>
                <w:sz w:val="20"/>
              </w:rPr>
              <w:t xml:space="preserve">Суммарный коэффициент рождаемости</w:t>
            </w:r>
          </w:p>
        </w:tc>
        <w:tc>
          <w:tcPr>
            <w:tcW w:w="1361" w:type="dxa"/>
          </w:tcPr>
          <w:p>
            <w:pPr>
              <w:pStyle w:val="0"/>
              <w:jc w:val="center"/>
            </w:pPr>
            <w:r>
              <w:rPr>
                <w:sz w:val="20"/>
              </w:rPr>
              <w:t xml:space="preserve">ед.</w:t>
            </w:r>
          </w:p>
        </w:tc>
        <w:tc>
          <w:tcPr>
            <w:tcW w:w="1361" w:type="dxa"/>
          </w:tcPr>
          <w:p>
            <w:pPr>
              <w:pStyle w:val="0"/>
              <w:jc w:val="center"/>
            </w:pPr>
            <w:r>
              <w:rPr>
                <w:sz w:val="20"/>
              </w:rPr>
              <w:t xml:space="preserve">1,188</w:t>
            </w:r>
          </w:p>
        </w:tc>
        <w:tc>
          <w:tcPr>
            <w:tcW w:w="1304" w:type="dxa"/>
          </w:tcPr>
          <w:p>
            <w:pPr>
              <w:pStyle w:val="0"/>
              <w:jc w:val="center"/>
            </w:pPr>
            <w:r>
              <w:rPr>
                <w:sz w:val="20"/>
              </w:rPr>
              <w:t xml:space="preserve">1,35</w:t>
            </w:r>
          </w:p>
        </w:tc>
      </w:tr>
      <w:tr>
        <w:tc>
          <w:tcPr>
            <w:tcW w:w="929" w:type="dxa"/>
          </w:tcPr>
          <w:p>
            <w:pPr>
              <w:pStyle w:val="0"/>
              <w:jc w:val="center"/>
            </w:pPr>
            <w:r>
              <w:rPr>
                <w:sz w:val="20"/>
              </w:rPr>
              <w:t xml:space="preserve">2</w:t>
            </w:r>
          </w:p>
        </w:tc>
        <w:tc>
          <w:tcPr>
            <w:tcW w:w="4082" w:type="dxa"/>
          </w:tcPr>
          <w:p>
            <w:pPr>
              <w:pStyle w:val="0"/>
            </w:pPr>
            <w:r>
              <w:rPr>
                <w:sz w:val="20"/>
              </w:rPr>
              <w:t xml:space="preserve">Уровень бедности</w:t>
            </w:r>
          </w:p>
        </w:tc>
        <w:tc>
          <w:tcPr>
            <w:tcW w:w="1361" w:type="dxa"/>
          </w:tcPr>
          <w:p>
            <w:pPr>
              <w:pStyle w:val="0"/>
              <w:jc w:val="center"/>
            </w:pPr>
            <w:r>
              <w:rPr>
                <w:sz w:val="20"/>
              </w:rPr>
              <w:t xml:space="preserve">%</w:t>
            </w:r>
          </w:p>
        </w:tc>
        <w:tc>
          <w:tcPr>
            <w:tcW w:w="1361" w:type="dxa"/>
          </w:tcPr>
          <w:p>
            <w:pPr>
              <w:pStyle w:val="0"/>
              <w:jc w:val="center"/>
            </w:pPr>
            <w:r>
              <w:rPr>
                <w:sz w:val="20"/>
              </w:rPr>
              <w:t xml:space="preserve">7,52</w:t>
            </w:r>
          </w:p>
        </w:tc>
        <w:tc>
          <w:tcPr>
            <w:tcW w:w="1304" w:type="dxa"/>
          </w:tcPr>
          <w:p>
            <w:pPr>
              <w:pStyle w:val="0"/>
              <w:jc w:val="center"/>
            </w:pPr>
            <w:r>
              <w:rPr>
                <w:sz w:val="20"/>
              </w:rPr>
              <w:t xml:space="preserve">5,7</w:t>
            </w:r>
          </w:p>
        </w:tc>
      </w:tr>
      <w:tr>
        <w:tc>
          <w:tcPr>
            <w:tcW w:w="929" w:type="dxa"/>
          </w:tcPr>
          <w:p>
            <w:pPr>
              <w:pStyle w:val="0"/>
              <w:jc w:val="center"/>
            </w:pPr>
            <w:r>
              <w:rPr>
                <w:sz w:val="20"/>
              </w:rPr>
              <w:t xml:space="preserve">3</w:t>
            </w:r>
          </w:p>
        </w:tc>
        <w:tc>
          <w:tcPr>
            <w:tcW w:w="4082" w:type="dxa"/>
          </w:tcPr>
          <w:p>
            <w:pPr>
              <w:pStyle w:val="0"/>
            </w:pPr>
            <w:r>
              <w:rPr>
                <w:sz w:val="20"/>
              </w:rPr>
              <w:t xml:space="preserve">Темп роста (индекс роста) реального среднедушевого денежного дохода населения</w:t>
            </w:r>
          </w:p>
        </w:tc>
        <w:tc>
          <w:tcPr>
            <w:tcW w:w="1361" w:type="dxa"/>
          </w:tcPr>
          <w:p>
            <w:pPr>
              <w:pStyle w:val="0"/>
              <w:jc w:val="center"/>
            </w:pPr>
            <w:r>
              <w:rPr>
                <w:sz w:val="20"/>
              </w:rPr>
              <w:t xml:space="preserve">%</w:t>
            </w:r>
          </w:p>
        </w:tc>
        <w:tc>
          <w:tcPr>
            <w:tcW w:w="1361" w:type="dxa"/>
          </w:tcPr>
          <w:p>
            <w:pPr>
              <w:pStyle w:val="0"/>
              <w:jc w:val="center"/>
            </w:pPr>
            <w:r>
              <w:rPr>
                <w:sz w:val="20"/>
              </w:rPr>
              <w:t xml:space="preserve">134,1</w:t>
            </w:r>
          </w:p>
        </w:tc>
        <w:tc>
          <w:tcPr>
            <w:tcW w:w="1304" w:type="dxa"/>
          </w:tcPr>
          <w:p>
            <w:pPr>
              <w:pStyle w:val="0"/>
              <w:jc w:val="center"/>
            </w:pPr>
            <w:r>
              <w:rPr>
                <w:sz w:val="20"/>
              </w:rPr>
              <w:t xml:space="preserve">162,8</w:t>
            </w:r>
          </w:p>
        </w:tc>
      </w:tr>
      <w:tr>
        <w:tc>
          <w:tcPr>
            <w:tcW w:w="929" w:type="dxa"/>
          </w:tcPr>
          <w:p>
            <w:pPr>
              <w:pStyle w:val="0"/>
              <w:jc w:val="center"/>
            </w:pPr>
            <w:r>
              <w:rPr>
                <w:sz w:val="20"/>
              </w:rPr>
              <w:t xml:space="preserve">4</w:t>
            </w:r>
          </w:p>
        </w:tc>
        <w:tc>
          <w:tcPr>
            <w:tcW w:w="4082" w:type="dxa"/>
          </w:tcPr>
          <w:p>
            <w:pPr>
              <w:pStyle w:val="0"/>
            </w:pPr>
            <w:r>
              <w:rPr>
                <w:sz w:val="20"/>
              </w:rPr>
              <w:t xml:space="preserve">Темп роста номинальной начисленной среднемесячной заработной платы работников организаций</w:t>
            </w:r>
          </w:p>
        </w:tc>
        <w:tc>
          <w:tcPr>
            <w:tcW w:w="1361" w:type="dxa"/>
          </w:tcPr>
          <w:p>
            <w:pPr>
              <w:pStyle w:val="0"/>
              <w:jc w:val="center"/>
            </w:pPr>
            <w:r>
              <w:rPr>
                <w:sz w:val="20"/>
              </w:rPr>
              <w:t xml:space="preserve">% г/г</w:t>
            </w:r>
          </w:p>
        </w:tc>
        <w:tc>
          <w:tcPr>
            <w:tcW w:w="1361" w:type="dxa"/>
          </w:tcPr>
          <w:p>
            <w:pPr>
              <w:pStyle w:val="0"/>
              <w:jc w:val="center"/>
            </w:pPr>
            <w:r>
              <w:rPr>
                <w:sz w:val="20"/>
              </w:rPr>
              <w:t xml:space="preserve">116,3</w:t>
            </w:r>
          </w:p>
        </w:tc>
        <w:tc>
          <w:tcPr>
            <w:tcW w:w="1304" w:type="dxa"/>
          </w:tcPr>
          <w:p>
            <w:pPr>
              <w:pStyle w:val="0"/>
              <w:jc w:val="center"/>
            </w:pPr>
            <w:r>
              <w:rPr>
                <w:sz w:val="20"/>
              </w:rPr>
              <w:t xml:space="preserve">107,3</w:t>
            </w:r>
          </w:p>
        </w:tc>
      </w:tr>
      <w:tr>
        <w:tc>
          <w:tcPr>
            <w:tcW w:w="929" w:type="dxa"/>
          </w:tcPr>
          <w:p>
            <w:pPr>
              <w:pStyle w:val="0"/>
              <w:jc w:val="center"/>
            </w:pPr>
            <w:r>
              <w:rPr>
                <w:sz w:val="20"/>
              </w:rPr>
              <w:t xml:space="preserve">5</w:t>
            </w:r>
          </w:p>
        </w:tc>
        <w:tc>
          <w:tcPr>
            <w:tcW w:w="4082" w:type="dxa"/>
          </w:tcPr>
          <w:p>
            <w:pPr>
              <w:pStyle w:val="0"/>
            </w:pPr>
            <w:r>
              <w:rPr>
                <w:sz w:val="20"/>
              </w:rPr>
              <w:t xml:space="preserve">Доля молодых людей, участвующих в проектах и программах, направленных на патриотическое воспитание</w:t>
            </w:r>
          </w:p>
        </w:tc>
        <w:tc>
          <w:tcPr>
            <w:tcW w:w="1361" w:type="dxa"/>
          </w:tcPr>
          <w:p>
            <w:pPr>
              <w:pStyle w:val="0"/>
              <w:jc w:val="center"/>
            </w:pPr>
            <w:r>
              <w:rPr>
                <w:sz w:val="20"/>
              </w:rPr>
              <w:t xml:space="preserve">%</w:t>
            </w:r>
          </w:p>
        </w:tc>
        <w:tc>
          <w:tcPr>
            <w:tcW w:w="1361" w:type="dxa"/>
          </w:tcPr>
          <w:p>
            <w:pPr>
              <w:pStyle w:val="0"/>
              <w:jc w:val="center"/>
            </w:pPr>
            <w:r>
              <w:rPr>
                <w:sz w:val="20"/>
              </w:rPr>
              <w:t xml:space="preserve">47,15</w:t>
            </w:r>
          </w:p>
        </w:tc>
        <w:tc>
          <w:tcPr>
            <w:tcW w:w="1304" w:type="dxa"/>
          </w:tcPr>
          <w:p>
            <w:pPr>
              <w:pStyle w:val="0"/>
              <w:jc w:val="center"/>
            </w:pPr>
            <w:r>
              <w:rPr>
                <w:sz w:val="20"/>
              </w:rPr>
              <w:t xml:space="preserve">75</w:t>
            </w:r>
          </w:p>
        </w:tc>
      </w:tr>
      <w:tr>
        <w:tc>
          <w:tcPr>
            <w:tcW w:w="929" w:type="dxa"/>
          </w:tcPr>
          <w:p>
            <w:pPr>
              <w:pStyle w:val="0"/>
              <w:jc w:val="center"/>
            </w:pPr>
            <w:r>
              <w:rPr>
                <w:sz w:val="20"/>
              </w:rPr>
              <w:t xml:space="preserve">6</w:t>
            </w:r>
          </w:p>
        </w:tc>
        <w:tc>
          <w:tcPr>
            <w:tcW w:w="4082" w:type="dxa"/>
          </w:tcPr>
          <w:p>
            <w:pPr>
              <w:pStyle w:val="0"/>
            </w:pPr>
            <w:r>
              <w:rPr>
                <w:sz w:val="20"/>
              </w:rPr>
              <w:t xml:space="preserve">Доля молодых людей, вовлеченных в добровольческую и общественную деятельность</w:t>
            </w:r>
          </w:p>
        </w:tc>
        <w:tc>
          <w:tcPr>
            <w:tcW w:w="1361" w:type="dxa"/>
          </w:tcPr>
          <w:p>
            <w:pPr>
              <w:pStyle w:val="0"/>
              <w:jc w:val="center"/>
            </w:pPr>
            <w:r>
              <w:rPr>
                <w:sz w:val="20"/>
              </w:rPr>
              <w:t xml:space="preserve">%</w:t>
            </w:r>
          </w:p>
        </w:tc>
        <w:tc>
          <w:tcPr>
            <w:tcW w:w="1361" w:type="dxa"/>
          </w:tcPr>
          <w:p>
            <w:pPr>
              <w:pStyle w:val="0"/>
              <w:jc w:val="center"/>
            </w:pPr>
            <w:r>
              <w:rPr>
                <w:sz w:val="20"/>
              </w:rPr>
              <w:t xml:space="preserve">30</w:t>
            </w:r>
          </w:p>
        </w:tc>
        <w:tc>
          <w:tcPr>
            <w:tcW w:w="1304" w:type="dxa"/>
          </w:tcPr>
          <w:p>
            <w:pPr>
              <w:pStyle w:val="0"/>
              <w:jc w:val="center"/>
            </w:pPr>
            <w:r>
              <w:rPr>
                <w:sz w:val="20"/>
              </w:rPr>
              <w:t xml:space="preserve">45</w:t>
            </w:r>
          </w:p>
        </w:tc>
      </w:tr>
      <w:tr>
        <w:tc>
          <w:tcPr>
            <w:tcW w:w="929" w:type="dxa"/>
          </w:tcPr>
          <w:p>
            <w:pPr>
              <w:pStyle w:val="0"/>
              <w:jc w:val="center"/>
            </w:pPr>
            <w:r>
              <w:rPr>
                <w:sz w:val="20"/>
              </w:rPr>
              <w:t xml:space="preserve">7</w:t>
            </w:r>
          </w:p>
        </w:tc>
        <w:tc>
          <w:tcPr>
            <w:tcW w:w="4082" w:type="dxa"/>
          </w:tcPr>
          <w:p>
            <w:pPr>
              <w:pStyle w:val="0"/>
            </w:pPr>
            <w:r>
              <w:rPr>
                <w:sz w:val="20"/>
              </w:rPr>
              <w:t xml:space="preserve">Доля молодых людей, вовлеченных в мероприятия, направленные на профессиональное развитие</w:t>
            </w:r>
          </w:p>
        </w:tc>
        <w:tc>
          <w:tcPr>
            <w:tcW w:w="1361" w:type="dxa"/>
          </w:tcPr>
          <w:p>
            <w:pPr>
              <w:pStyle w:val="0"/>
              <w:jc w:val="center"/>
            </w:pPr>
            <w:r>
              <w:rPr>
                <w:sz w:val="20"/>
              </w:rPr>
              <w:t xml:space="preserve">%</w:t>
            </w:r>
          </w:p>
        </w:tc>
        <w:tc>
          <w:tcPr>
            <w:tcW w:w="1361" w:type="dxa"/>
          </w:tcPr>
          <w:p>
            <w:pPr>
              <w:pStyle w:val="0"/>
              <w:jc w:val="center"/>
            </w:pPr>
            <w:r>
              <w:rPr>
                <w:sz w:val="20"/>
              </w:rPr>
              <w:t xml:space="preserve">43,85</w:t>
            </w:r>
          </w:p>
        </w:tc>
        <w:tc>
          <w:tcPr>
            <w:tcW w:w="1304" w:type="dxa"/>
          </w:tcPr>
          <w:p>
            <w:pPr>
              <w:pStyle w:val="0"/>
              <w:jc w:val="center"/>
            </w:pPr>
            <w:r>
              <w:rPr>
                <w:sz w:val="20"/>
              </w:rPr>
              <w:t xml:space="preserve">75</w:t>
            </w:r>
          </w:p>
        </w:tc>
      </w:tr>
      <w:tr>
        <w:tc>
          <w:tcPr>
            <w:tcW w:w="929" w:type="dxa"/>
          </w:tcPr>
          <w:p>
            <w:pPr>
              <w:pStyle w:val="0"/>
              <w:jc w:val="center"/>
            </w:pPr>
            <w:r>
              <w:rPr>
                <w:sz w:val="20"/>
              </w:rPr>
              <w:t xml:space="preserve">8</w:t>
            </w:r>
          </w:p>
        </w:tc>
        <w:tc>
          <w:tcPr>
            <w:tcW w:w="4082" w:type="dxa"/>
          </w:tcPr>
          <w:p>
            <w:pPr>
              <w:pStyle w:val="0"/>
            </w:pPr>
            <w:r>
              <w:rPr>
                <w:sz w:val="20"/>
              </w:rPr>
              <w:t xml:space="preserve">Обеспеченность населения врачами, работающими в медицинских организациях, участвующих в реализации программы государственных гарантий бесплатного оказания гражданам медицинской помощи</w:t>
            </w:r>
          </w:p>
        </w:tc>
        <w:tc>
          <w:tcPr>
            <w:tcW w:w="1361" w:type="dxa"/>
          </w:tcPr>
          <w:p>
            <w:pPr>
              <w:pStyle w:val="0"/>
              <w:jc w:val="center"/>
            </w:pPr>
            <w:r>
              <w:rPr>
                <w:sz w:val="20"/>
              </w:rPr>
              <w:t xml:space="preserve">человек на 10 тыс. населения</w:t>
            </w:r>
          </w:p>
        </w:tc>
        <w:tc>
          <w:tcPr>
            <w:tcW w:w="1361" w:type="dxa"/>
          </w:tcPr>
          <w:p>
            <w:pPr>
              <w:pStyle w:val="0"/>
              <w:jc w:val="center"/>
            </w:pPr>
            <w:r>
              <w:rPr>
                <w:sz w:val="20"/>
              </w:rPr>
              <w:t xml:space="preserve">35,2</w:t>
            </w:r>
          </w:p>
        </w:tc>
        <w:tc>
          <w:tcPr>
            <w:tcW w:w="1304" w:type="dxa"/>
          </w:tcPr>
          <w:p>
            <w:pPr>
              <w:pStyle w:val="0"/>
              <w:jc w:val="center"/>
            </w:pPr>
            <w:r>
              <w:rPr>
                <w:sz w:val="20"/>
              </w:rPr>
              <w:t xml:space="preserve">36,6</w:t>
            </w:r>
          </w:p>
        </w:tc>
      </w:tr>
      <w:tr>
        <w:tc>
          <w:tcPr>
            <w:tcW w:w="929" w:type="dxa"/>
          </w:tcPr>
          <w:p>
            <w:pPr>
              <w:pStyle w:val="0"/>
              <w:jc w:val="center"/>
            </w:pPr>
            <w:r>
              <w:rPr>
                <w:sz w:val="20"/>
              </w:rPr>
              <w:t xml:space="preserve">9</w:t>
            </w:r>
          </w:p>
        </w:tc>
        <w:tc>
          <w:tcPr>
            <w:tcW w:w="4082" w:type="dxa"/>
          </w:tcPr>
          <w:p>
            <w:pPr>
              <w:pStyle w:val="0"/>
            </w:pPr>
            <w:r>
              <w:rPr>
                <w:sz w:val="20"/>
              </w:rPr>
              <w:t xml:space="preserve">Обеспеченность средними медицинскими работниками, работающими в медорганизациях, участвующих в реализации государственных гарантий бесплатного оказания медицинской помощи</w:t>
            </w:r>
          </w:p>
        </w:tc>
        <w:tc>
          <w:tcPr>
            <w:tcW w:w="1361" w:type="dxa"/>
          </w:tcPr>
          <w:p>
            <w:pPr>
              <w:pStyle w:val="0"/>
              <w:jc w:val="center"/>
            </w:pPr>
            <w:r>
              <w:rPr>
                <w:sz w:val="20"/>
              </w:rPr>
              <w:t xml:space="preserve">человек на 10 тыс. населения</w:t>
            </w:r>
          </w:p>
        </w:tc>
        <w:tc>
          <w:tcPr>
            <w:tcW w:w="1361" w:type="dxa"/>
          </w:tcPr>
          <w:p>
            <w:pPr>
              <w:pStyle w:val="0"/>
              <w:jc w:val="center"/>
            </w:pPr>
            <w:r>
              <w:rPr>
                <w:sz w:val="20"/>
              </w:rPr>
              <w:t xml:space="preserve">84,3</w:t>
            </w:r>
          </w:p>
        </w:tc>
        <w:tc>
          <w:tcPr>
            <w:tcW w:w="1304" w:type="dxa"/>
          </w:tcPr>
          <w:p>
            <w:pPr>
              <w:pStyle w:val="0"/>
              <w:jc w:val="center"/>
            </w:pPr>
            <w:r>
              <w:rPr>
                <w:sz w:val="20"/>
              </w:rPr>
              <w:t xml:space="preserve">86,3</w:t>
            </w:r>
          </w:p>
        </w:tc>
      </w:tr>
      <w:tr>
        <w:tc>
          <w:tcPr>
            <w:tcW w:w="929" w:type="dxa"/>
          </w:tcPr>
          <w:p>
            <w:pPr>
              <w:pStyle w:val="0"/>
              <w:jc w:val="center"/>
            </w:pPr>
            <w:r>
              <w:rPr>
                <w:sz w:val="20"/>
              </w:rPr>
              <w:t xml:space="preserve">10</w:t>
            </w:r>
          </w:p>
        </w:tc>
        <w:tc>
          <w:tcPr>
            <w:tcW w:w="4082" w:type="dxa"/>
          </w:tcPr>
          <w:p>
            <w:pPr>
              <w:pStyle w:val="0"/>
            </w:pPr>
            <w:r>
              <w:rPr>
                <w:sz w:val="20"/>
              </w:rPr>
              <w:t xml:space="preserve">Доля населения, которой доступна первичная медико-санитарная помощь в модернизированных медицинских подразделениях</w:t>
            </w:r>
          </w:p>
        </w:tc>
        <w:tc>
          <w:tcPr>
            <w:tcW w:w="1361" w:type="dxa"/>
          </w:tcPr>
          <w:p>
            <w:pPr>
              <w:pStyle w:val="0"/>
              <w:jc w:val="center"/>
            </w:pPr>
            <w:r>
              <w:rPr>
                <w:sz w:val="20"/>
              </w:rPr>
              <w:t xml:space="preserve">%</w:t>
            </w:r>
          </w:p>
        </w:tc>
        <w:tc>
          <w:tcPr>
            <w:tcW w:w="1361" w:type="dxa"/>
          </w:tcPr>
          <w:p>
            <w:pPr>
              <w:pStyle w:val="0"/>
              <w:jc w:val="center"/>
            </w:pPr>
            <w:r>
              <w:rPr>
                <w:sz w:val="20"/>
              </w:rPr>
              <w:t xml:space="preserve">79</w:t>
            </w:r>
          </w:p>
        </w:tc>
        <w:tc>
          <w:tcPr>
            <w:tcW w:w="1304" w:type="dxa"/>
          </w:tcPr>
          <w:p>
            <w:pPr>
              <w:pStyle w:val="0"/>
              <w:jc w:val="center"/>
            </w:pPr>
            <w:r>
              <w:rPr>
                <w:sz w:val="20"/>
              </w:rPr>
              <w:t xml:space="preserve">100</w:t>
            </w:r>
          </w:p>
        </w:tc>
      </w:tr>
      <w:tr>
        <w:tc>
          <w:tcPr>
            <w:tcW w:w="929" w:type="dxa"/>
          </w:tcPr>
          <w:p>
            <w:pPr>
              <w:pStyle w:val="0"/>
              <w:jc w:val="center"/>
            </w:pPr>
            <w:r>
              <w:rPr>
                <w:sz w:val="20"/>
              </w:rPr>
              <w:t xml:space="preserve">11</w:t>
            </w:r>
          </w:p>
        </w:tc>
        <w:tc>
          <w:tcPr>
            <w:tcW w:w="4082" w:type="dxa"/>
          </w:tcPr>
          <w:p>
            <w:pPr>
              <w:pStyle w:val="0"/>
            </w:pPr>
            <w:r>
              <w:rPr>
                <w:sz w:val="20"/>
              </w:rPr>
              <w:t xml:space="preserve">Увеличение числа лиц, получивших медицинскую помощь по медицинской реабилитации</w:t>
            </w:r>
          </w:p>
        </w:tc>
        <w:tc>
          <w:tcPr>
            <w:tcW w:w="1361" w:type="dxa"/>
          </w:tcPr>
          <w:p>
            <w:pPr>
              <w:pStyle w:val="0"/>
              <w:jc w:val="center"/>
            </w:pPr>
            <w:r>
              <w:rPr>
                <w:sz w:val="20"/>
              </w:rPr>
              <w:t xml:space="preserve">в % к 2024 году</w:t>
            </w:r>
          </w:p>
        </w:tc>
        <w:tc>
          <w:tcPr>
            <w:tcW w:w="1361" w:type="dxa"/>
          </w:tcPr>
          <w:p>
            <w:pPr>
              <w:pStyle w:val="0"/>
              <w:jc w:val="center"/>
            </w:pPr>
            <w:r>
              <w:rPr>
                <w:sz w:val="20"/>
              </w:rPr>
              <w:t xml:space="preserve">4</w:t>
            </w:r>
          </w:p>
        </w:tc>
        <w:tc>
          <w:tcPr>
            <w:tcW w:w="1304" w:type="dxa"/>
          </w:tcPr>
          <w:p>
            <w:pPr>
              <w:pStyle w:val="0"/>
              <w:jc w:val="center"/>
            </w:pPr>
            <w:r>
              <w:rPr>
                <w:sz w:val="20"/>
              </w:rPr>
              <w:t xml:space="preserve">26,5</w:t>
            </w:r>
          </w:p>
        </w:tc>
      </w:tr>
      <w:tr>
        <w:tc>
          <w:tcPr>
            <w:tcW w:w="929" w:type="dxa"/>
          </w:tcPr>
          <w:p>
            <w:pPr>
              <w:pStyle w:val="0"/>
              <w:jc w:val="center"/>
            </w:pPr>
            <w:r>
              <w:rPr>
                <w:sz w:val="20"/>
              </w:rPr>
              <w:t xml:space="preserve">12</w:t>
            </w:r>
          </w:p>
        </w:tc>
        <w:tc>
          <w:tcPr>
            <w:tcW w:w="4082" w:type="dxa"/>
          </w:tcPr>
          <w:p>
            <w:pPr>
              <w:pStyle w:val="0"/>
            </w:pPr>
            <w:r>
              <w:rPr>
                <w:sz w:val="20"/>
              </w:rPr>
              <w:t xml:space="preserve">Удовлетворенность населения медицинской помощью по результатам оценки общественного мнения</w:t>
            </w:r>
          </w:p>
        </w:tc>
        <w:tc>
          <w:tcPr>
            <w:tcW w:w="1361" w:type="dxa"/>
          </w:tcPr>
          <w:p>
            <w:pPr>
              <w:pStyle w:val="0"/>
              <w:jc w:val="center"/>
            </w:pPr>
            <w:r>
              <w:rPr>
                <w:sz w:val="20"/>
              </w:rPr>
              <w:t xml:space="preserve">%</w:t>
            </w:r>
          </w:p>
        </w:tc>
        <w:tc>
          <w:tcPr>
            <w:tcW w:w="1361" w:type="dxa"/>
          </w:tcPr>
          <w:p>
            <w:pPr>
              <w:pStyle w:val="0"/>
              <w:jc w:val="center"/>
            </w:pPr>
            <w:r>
              <w:rPr>
                <w:sz w:val="20"/>
              </w:rPr>
              <w:t xml:space="preserve">66,5</w:t>
            </w:r>
          </w:p>
        </w:tc>
        <w:tc>
          <w:tcPr>
            <w:tcW w:w="1304" w:type="dxa"/>
          </w:tcPr>
          <w:p>
            <w:pPr>
              <w:pStyle w:val="0"/>
              <w:jc w:val="center"/>
            </w:pPr>
            <w:r>
              <w:rPr>
                <w:sz w:val="20"/>
              </w:rPr>
              <w:t xml:space="preserve">69</w:t>
            </w:r>
          </w:p>
        </w:tc>
      </w:tr>
      <w:tr>
        <w:tc>
          <w:tcPr>
            <w:tcW w:w="929" w:type="dxa"/>
          </w:tcPr>
          <w:p>
            <w:pPr>
              <w:pStyle w:val="0"/>
              <w:jc w:val="center"/>
            </w:pPr>
            <w:r>
              <w:rPr>
                <w:sz w:val="20"/>
              </w:rPr>
              <w:t xml:space="preserve">13</w:t>
            </w:r>
          </w:p>
        </w:tc>
        <w:tc>
          <w:tcPr>
            <w:tcW w:w="4082" w:type="dxa"/>
          </w:tcPr>
          <w:p>
            <w:pPr>
              <w:pStyle w:val="0"/>
            </w:pPr>
            <w:r>
              <w:rPr>
                <w:sz w:val="20"/>
              </w:rPr>
              <w:t xml:space="preserve">Уровень образования</w:t>
            </w:r>
          </w:p>
        </w:tc>
        <w:tc>
          <w:tcPr>
            <w:tcW w:w="1361" w:type="dxa"/>
          </w:tcPr>
          <w:p>
            <w:pPr>
              <w:pStyle w:val="0"/>
              <w:jc w:val="center"/>
            </w:pPr>
            <w:r>
              <w:rPr>
                <w:sz w:val="20"/>
              </w:rPr>
              <w:t xml:space="preserve">%</w:t>
            </w:r>
          </w:p>
        </w:tc>
        <w:tc>
          <w:tcPr>
            <w:tcW w:w="1361" w:type="dxa"/>
          </w:tcPr>
          <w:p>
            <w:pPr>
              <w:pStyle w:val="0"/>
              <w:jc w:val="center"/>
            </w:pPr>
            <w:r>
              <w:rPr>
                <w:sz w:val="20"/>
              </w:rPr>
              <w:t xml:space="preserve">68,7</w:t>
            </w:r>
          </w:p>
        </w:tc>
        <w:tc>
          <w:tcPr>
            <w:tcW w:w="1304" w:type="dxa"/>
          </w:tcPr>
          <w:p>
            <w:pPr>
              <w:pStyle w:val="0"/>
              <w:jc w:val="center"/>
            </w:pPr>
            <w:r>
              <w:rPr>
                <w:sz w:val="20"/>
              </w:rPr>
              <w:t xml:space="preserve">74,02</w:t>
            </w:r>
          </w:p>
        </w:tc>
      </w:tr>
      <w:tr>
        <w:tc>
          <w:tcPr>
            <w:tcW w:w="929" w:type="dxa"/>
          </w:tcPr>
          <w:p>
            <w:pPr>
              <w:pStyle w:val="0"/>
              <w:jc w:val="center"/>
            </w:pPr>
            <w:r>
              <w:rPr>
                <w:sz w:val="20"/>
              </w:rPr>
              <w:t xml:space="preserve">14</w:t>
            </w:r>
          </w:p>
        </w:tc>
        <w:tc>
          <w:tcPr>
            <w:tcW w:w="4082" w:type="dxa"/>
          </w:tcPr>
          <w:p>
            <w:pPr>
              <w:pStyle w:val="0"/>
            </w:pPr>
            <w:r>
              <w:rPr>
                <w:sz w:val="20"/>
              </w:rPr>
              <w:t xml:space="preserve">Эффективность системы выявления, поддержки и развития способностей и талантов у детей и молодежи</w:t>
            </w:r>
          </w:p>
        </w:tc>
        <w:tc>
          <w:tcPr>
            <w:tcW w:w="1361" w:type="dxa"/>
          </w:tcPr>
          <w:p>
            <w:pPr>
              <w:pStyle w:val="0"/>
              <w:jc w:val="center"/>
            </w:pPr>
            <w:r>
              <w:rPr>
                <w:sz w:val="20"/>
              </w:rPr>
              <w:t xml:space="preserve">%</w:t>
            </w:r>
          </w:p>
        </w:tc>
        <w:tc>
          <w:tcPr>
            <w:tcW w:w="1361" w:type="dxa"/>
          </w:tcPr>
          <w:p>
            <w:pPr>
              <w:pStyle w:val="0"/>
              <w:jc w:val="center"/>
            </w:pPr>
            <w:r>
              <w:rPr>
                <w:sz w:val="20"/>
              </w:rPr>
              <w:t xml:space="preserve">45,42</w:t>
            </w:r>
          </w:p>
        </w:tc>
        <w:tc>
          <w:tcPr>
            <w:tcW w:w="1304" w:type="dxa"/>
          </w:tcPr>
          <w:p>
            <w:pPr>
              <w:pStyle w:val="0"/>
              <w:jc w:val="center"/>
            </w:pPr>
            <w:r>
              <w:rPr>
                <w:sz w:val="20"/>
              </w:rPr>
              <w:t xml:space="preserve">46,12</w:t>
            </w:r>
          </w:p>
        </w:tc>
      </w:tr>
      <w:tr>
        <w:tc>
          <w:tcPr>
            <w:tcW w:w="929" w:type="dxa"/>
          </w:tcPr>
          <w:p>
            <w:pPr>
              <w:pStyle w:val="0"/>
              <w:jc w:val="center"/>
            </w:pPr>
            <w:r>
              <w:rPr>
                <w:sz w:val="20"/>
              </w:rPr>
              <w:t xml:space="preserve">15</w:t>
            </w:r>
          </w:p>
        </w:tc>
        <w:tc>
          <w:tcPr>
            <w:tcW w:w="4082" w:type="dxa"/>
          </w:tcPr>
          <w:p>
            <w:pPr>
              <w:pStyle w:val="0"/>
            </w:pPr>
            <w:r>
              <w:rPr>
                <w:sz w:val="20"/>
              </w:rPr>
              <w:t xml:space="preserve">Доля детей и молодежи в возрасте от 7 до 35 лет, у которых выявлены выдающиеся способности и таланты</w:t>
            </w:r>
          </w:p>
        </w:tc>
        <w:tc>
          <w:tcPr>
            <w:tcW w:w="1361" w:type="dxa"/>
          </w:tcPr>
          <w:p>
            <w:pPr>
              <w:pStyle w:val="0"/>
              <w:jc w:val="center"/>
            </w:pPr>
            <w:r>
              <w:rPr>
                <w:sz w:val="20"/>
              </w:rPr>
              <w:t xml:space="preserve">%</w:t>
            </w:r>
          </w:p>
        </w:tc>
        <w:tc>
          <w:tcPr>
            <w:tcW w:w="1361" w:type="dxa"/>
          </w:tcPr>
          <w:p>
            <w:pPr>
              <w:pStyle w:val="0"/>
              <w:jc w:val="center"/>
            </w:pPr>
            <w:r>
              <w:rPr>
                <w:sz w:val="20"/>
              </w:rPr>
              <w:t xml:space="preserve">0,69</w:t>
            </w:r>
          </w:p>
        </w:tc>
        <w:tc>
          <w:tcPr>
            <w:tcW w:w="1304" w:type="dxa"/>
          </w:tcPr>
          <w:p>
            <w:pPr>
              <w:pStyle w:val="0"/>
              <w:jc w:val="center"/>
            </w:pPr>
            <w:r>
              <w:rPr>
                <w:sz w:val="20"/>
              </w:rPr>
              <w:t xml:space="preserve">0,73</w:t>
            </w:r>
          </w:p>
        </w:tc>
      </w:tr>
      <w:tr>
        <w:tc>
          <w:tcPr>
            <w:tcW w:w="929" w:type="dxa"/>
          </w:tcPr>
          <w:p>
            <w:pPr>
              <w:pStyle w:val="0"/>
              <w:jc w:val="center"/>
            </w:pPr>
            <w:r>
              <w:rPr>
                <w:sz w:val="20"/>
              </w:rPr>
              <w:t xml:space="preserve">16</w:t>
            </w:r>
          </w:p>
        </w:tc>
        <w:tc>
          <w:tcPr>
            <w:tcW w:w="4082" w:type="dxa"/>
          </w:tcPr>
          <w:p>
            <w:pPr>
              <w:pStyle w:val="0"/>
            </w:pPr>
            <w:r>
              <w:rPr>
                <w:sz w:val="20"/>
              </w:rPr>
              <w:t xml:space="preserve">Уровень удовлетворенности граждан работой государственных и муниципальных организаций культуры, искусства и народного творчества</w:t>
            </w:r>
          </w:p>
        </w:tc>
        <w:tc>
          <w:tcPr>
            <w:tcW w:w="1361" w:type="dxa"/>
          </w:tcPr>
          <w:p>
            <w:pPr>
              <w:pStyle w:val="0"/>
              <w:jc w:val="center"/>
            </w:pPr>
            <w:r>
              <w:rPr>
                <w:sz w:val="20"/>
              </w:rPr>
              <w:t xml:space="preserve">%</w:t>
            </w:r>
          </w:p>
        </w:tc>
        <w:tc>
          <w:tcPr>
            <w:tcW w:w="1361" w:type="dxa"/>
          </w:tcPr>
          <w:p>
            <w:pPr>
              <w:pStyle w:val="0"/>
              <w:jc w:val="center"/>
            </w:pPr>
            <w:r>
              <w:rPr>
                <w:sz w:val="20"/>
              </w:rPr>
              <w:t xml:space="preserve">75,4</w:t>
            </w:r>
          </w:p>
        </w:tc>
        <w:tc>
          <w:tcPr>
            <w:tcW w:w="1304" w:type="dxa"/>
          </w:tcPr>
          <w:p>
            <w:pPr>
              <w:pStyle w:val="0"/>
              <w:jc w:val="center"/>
            </w:pPr>
            <w:r>
              <w:rPr>
                <w:sz w:val="20"/>
              </w:rPr>
              <w:t xml:space="preserve">87,2</w:t>
            </w:r>
          </w:p>
        </w:tc>
      </w:tr>
      <w:tr>
        <w:tc>
          <w:tcPr>
            <w:tcW w:w="929" w:type="dxa"/>
          </w:tcPr>
          <w:p>
            <w:pPr>
              <w:pStyle w:val="0"/>
              <w:jc w:val="center"/>
            </w:pPr>
            <w:r>
              <w:rPr>
                <w:sz w:val="20"/>
              </w:rPr>
              <w:t xml:space="preserve">17</w:t>
            </w:r>
          </w:p>
        </w:tc>
        <w:tc>
          <w:tcPr>
            <w:tcW w:w="4082" w:type="dxa"/>
          </w:tcPr>
          <w:p>
            <w:pPr>
              <w:pStyle w:val="0"/>
            </w:pPr>
            <w:r>
              <w:rPr>
                <w:sz w:val="20"/>
              </w:rPr>
              <w:t xml:space="preserve">Доля граждан, систематически занимающихся физической культурой и спортом</w:t>
            </w:r>
          </w:p>
        </w:tc>
        <w:tc>
          <w:tcPr>
            <w:tcW w:w="1361" w:type="dxa"/>
          </w:tcPr>
          <w:p>
            <w:pPr>
              <w:pStyle w:val="0"/>
              <w:jc w:val="center"/>
            </w:pPr>
            <w:r>
              <w:rPr>
                <w:sz w:val="20"/>
              </w:rPr>
              <w:t xml:space="preserve">%</w:t>
            </w:r>
          </w:p>
        </w:tc>
        <w:tc>
          <w:tcPr>
            <w:tcW w:w="1361" w:type="dxa"/>
          </w:tcPr>
          <w:p>
            <w:pPr>
              <w:pStyle w:val="0"/>
              <w:jc w:val="center"/>
            </w:pPr>
            <w:r>
              <w:rPr>
                <w:sz w:val="20"/>
              </w:rPr>
              <w:t xml:space="preserve">61,7</w:t>
            </w:r>
          </w:p>
        </w:tc>
        <w:tc>
          <w:tcPr>
            <w:tcW w:w="1304" w:type="dxa"/>
          </w:tcPr>
          <w:p>
            <w:pPr>
              <w:pStyle w:val="0"/>
              <w:jc w:val="center"/>
            </w:pPr>
            <w:r>
              <w:rPr>
                <w:sz w:val="20"/>
              </w:rPr>
              <w:t xml:space="preserve">70</w:t>
            </w:r>
          </w:p>
        </w:tc>
      </w:tr>
      <w:tr>
        <w:tc>
          <w:tcPr>
            <w:tcW w:w="929" w:type="dxa"/>
          </w:tcPr>
          <w:p>
            <w:pPr>
              <w:pStyle w:val="0"/>
              <w:jc w:val="center"/>
            </w:pPr>
            <w:r>
              <w:rPr>
                <w:sz w:val="20"/>
              </w:rPr>
              <w:t xml:space="preserve">18</w:t>
            </w:r>
          </w:p>
        </w:tc>
        <w:tc>
          <w:tcPr>
            <w:tcW w:w="4082" w:type="dxa"/>
          </w:tcPr>
          <w:p>
            <w:pPr>
              <w:pStyle w:val="0"/>
            </w:pPr>
            <w:r>
              <w:rPr>
                <w:sz w:val="20"/>
              </w:rPr>
              <w:t xml:space="preserve">Уровень официально зарегистрированной безработицы</w:t>
            </w:r>
          </w:p>
        </w:tc>
        <w:tc>
          <w:tcPr>
            <w:tcW w:w="1361" w:type="dxa"/>
          </w:tcPr>
          <w:p>
            <w:pPr>
              <w:pStyle w:val="0"/>
              <w:jc w:val="center"/>
            </w:pPr>
            <w:r>
              <w:rPr>
                <w:sz w:val="20"/>
              </w:rPr>
              <w:t xml:space="preserve">%</w:t>
            </w:r>
          </w:p>
        </w:tc>
        <w:tc>
          <w:tcPr>
            <w:tcW w:w="1361" w:type="dxa"/>
          </w:tcPr>
          <w:p>
            <w:pPr>
              <w:pStyle w:val="0"/>
              <w:jc w:val="center"/>
            </w:pPr>
            <w:r>
              <w:rPr>
                <w:sz w:val="20"/>
              </w:rPr>
              <w:t xml:space="preserve">0,13</w:t>
            </w:r>
          </w:p>
        </w:tc>
        <w:tc>
          <w:tcPr>
            <w:tcW w:w="1304" w:type="dxa"/>
          </w:tcPr>
          <w:p>
            <w:pPr>
              <w:pStyle w:val="0"/>
              <w:jc w:val="center"/>
            </w:pPr>
            <w:r>
              <w:rPr>
                <w:sz w:val="20"/>
              </w:rPr>
              <w:t xml:space="preserve">0,13</w:t>
            </w:r>
          </w:p>
        </w:tc>
      </w:tr>
      <w:tr>
        <w:tc>
          <w:tcPr>
            <w:tcW w:w="929" w:type="dxa"/>
          </w:tcPr>
          <w:p>
            <w:pPr>
              <w:pStyle w:val="0"/>
              <w:jc w:val="center"/>
            </w:pPr>
            <w:r>
              <w:rPr>
                <w:sz w:val="20"/>
              </w:rPr>
              <w:t xml:space="preserve">19</w:t>
            </w:r>
          </w:p>
        </w:tc>
        <w:tc>
          <w:tcPr>
            <w:tcW w:w="4082" w:type="dxa"/>
          </w:tcPr>
          <w:p>
            <w:pPr>
              <w:pStyle w:val="0"/>
            </w:pPr>
            <w:r>
              <w:rPr>
                <w:sz w:val="20"/>
              </w:rPr>
              <w:t xml:space="preserve">Доля массовых социально значимых государственных и муниципальных услуг, предоставляемых в электронном виде</w:t>
            </w:r>
          </w:p>
        </w:tc>
        <w:tc>
          <w:tcPr>
            <w:tcW w:w="1361" w:type="dxa"/>
          </w:tcPr>
          <w:p>
            <w:pPr>
              <w:pStyle w:val="0"/>
              <w:jc w:val="center"/>
            </w:pPr>
            <w:r>
              <w:rPr>
                <w:sz w:val="20"/>
              </w:rPr>
              <w:t xml:space="preserve">%</w:t>
            </w:r>
          </w:p>
        </w:tc>
        <w:tc>
          <w:tcPr>
            <w:tcW w:w="1361" w:type="dxa"/>
          </w:tcPr>
          <w:p>
            <w:pPr>
              <w:pStyle w:val="0"/>
              <w:jc w:val="center"/>
            </w:pPr>
            <w:r>
              <w:rPr>
                <w:sz w:val="20"/>
              </w:rPr>
              <w:t xml:space="preserve">95</w:t>
            </w:r>
          </w:p>
        </w:tc>
        <w:tc>
          <w:tcPr>
            <w:tcW w:w="1304" w:type="dxa"/>
          </w:tcPr>
          <w:p>
            <w:pPr>
              <w:pStyle w:val="0"/>
              <w:jc w:val="center"/>
            </w:pPr>
            <w:r>
              <w:rPr>
                <w:sz w:val="20"/>
              </w:rPr>
              <w:t xml:space="preserve">99</w:t>
            </w:r>
          </w:p>
        </w:tc>
      </w:tr>
      <w:tr>
        <w:tc>
          <w:tcPr>
            <w:tcW w:w="929" w:type="dxa"/>
          </w:tcPr>
          <w:p>
            <w:pPr>
              <w:pStyle w:val="0"/>
              <w:jc w:val="center"/>
            </w:pPr>
            <w:r>
              <w:rPr>
                <w:sz w:val="20"/>
              </w:rPr>
              <w:t xml:space="preserve">20</w:t>
            </w:r>
          </w:p>
        </w:tc>
        <w:tc>
          <w:tcPr>
            <w:tcW w:w="4082" w:type="dxa"/>
          </w:tcPr>
          <w:p>
            <w:pPr>
              <w:pStyle w:val="0"/>
            </w:pPr>
            <w:r>
              <w:rPr>
                <w:sz w:val="20"/>
              </w:rPr>
              <w:t xml:space="preserve">Индекс промышленного производства</w:t>
            </w:r>
          </w:p>
        </w:tc>
        <w:tc>
          <w:tcPr>
            <w:tcW w:w="1361" w:type="dxa"/>
          </w:tcPr>
          <w:p>
            <w:pPr>
              <w:pStyle w:val="0"/>
              <w:jc w:val="center"/>
            </w:pPr>
            <w:r>
              <w:rPr>
                <w:sz w:val="20"/>
              </w:rPr>
              <w:t xml:space="preserve">%</w:t>
            </w:r>
          </w:p>
        </w:tc>
        <w:tc>
          <w:tcPr>
            <w:tcW w:w="1361" w:type="dxa"/>
          </w:tcPr>
          <w:p>
            <w:pPr>
              <w:pStyle w:val="0"/>
              <w:jc w:val="center"/>
            </w:pPr>
            <w:r>
              <w:rPr>
                <w:sz w:val="20"/>
              </w:rPr>
              <w:t xml:space="preserve">104,1</w:t>
            </w:r>
          </w:p>
        </w:tc>
        <w:tc>
          <w:tcPr>
            <w:tcW w:w="1304" w:type="dxa"/>
          </w:tcPr>
          <w:p>
            <w:pPr>
              <w:pStyle w:val="0"/>
              <w:jc w:val="center"/>
            </w:pPr>
            <w:r>
              <w:rPr>
                <w:sz w:val="20"/>
              </w:rPr>
              <w:t xml:space="preserve">103,7</w:t>
            </w:r>
          </w:p>
        </w:tc>
      </w:tr>
      <w:tr>
        <w:tc>
          <w:tcPr>
            <w:tcW w:w="929" w:type="dxa"/>
          </w:tcPr>
          <w:p>
            <w:pPr>
              <w:pStyle w:val="0"/>
              <w:jc w:val="center"/>
            </w:pPr>
            <w:r>
              <w:rPr>
                <w:sz w:val="20"/>
              </w:rPr>
              <w:t xml:space="preserve">21</w:t>
            </w:r>
          </w:p>
        </w:tc>
        <w:tc>
          <w:tcPr>
            <w:tcW w:w="4082" w:type="dxa"/>
          </w:tcPr>
          <w:p>
            <w:pPr>
              <w:pStyle w:val="0"/>
            </w:pPr>
            <w:r>
              <w:rPr>
                <w:sz w:val="20"/>
              </w:rPr>
              <w:t xml:space="preserve">Отгрузка товаров собственного производства, работы (услуги), выполненные собственными силами</w:t>
            </w:r>
          </w:p>
        </w:tc>
        <w:tc>
          <w:tcPr>
            <w:tcW w:w="1361" w:type="dxa"/>
          </w:tcPr>
          <w:p>
            <w:pPr>
              <w:pStyle w:val="0"/>
              <w:jc w:val="center"/>
            </w:pPr>
            <w:r>
              <w:rPr>
                <w:sz w:val="20"/>
              </w:rPr>
              <w:t xml:space="preserve">млрд. рублей</w:t>
            </w:r>
          </w:p>
        </w:tc>
        <w:tc>
          <w:tcPr>
            <w:tcW w:w="1361" w:type="dxa"/>
          </w:tcPr>
          <w:p>
            <w:pPr>
              <w:pStyle w:val="0"/>
              <w:jc w:val="center"/>
            </w:pPr>
            <w:r>
              <w:rPr>
                <w:sz w:val="20"/>
              </w:rPr>
              <w:t xml:space="preserve">1934</w:t>
            </w:r>
          </w:p>
        </w:tc>
        <w:tc>
          <w:tcPr>
            <w:tcW w:w="1304" w:type="dxa"/>
          </w:tcPr>
          <w:p>
            <w:pPr>
              <w:pStyle w:val="0"/>
              <w:jc w:val="center"/>
            </w:pPr>
            <w:r>
              <w:rPr>
                <w:sz w:val="20"/>
              </w:rPr>
              <w:t xml:space="preserve">2652,3</w:t>
            </w:r>
          </w:p>
        </w:tc>
      </w:tr>
      <w:tr>
        <w:tc>
          <w:tcPr>
            <w:tcW w:w="929" w:type="dxa"/>
          </w:tcPr>
          <w:p>
            <w:pPr>
              <w:pStyle w:val="0"/>
              <w:jc w:val="center"/>
            </w:pPr>
            <w:r>
              <w:rPr>
                <w:sz w:val="20"/>
              </w:rPr>
              <w:t xml:space="preserve">22</w:t>
            </w:r>
          </w:p>
        </w:tc>
        <w:tc>
          <w:tcPr>
            <w:tcW w:w="4082" w:type="dxa"/>
          </w:tcPr>
          <w:p>
            <w:pPr>
              <w:pStyle w:val="0"/>
            </w:pPr>
            <w:r>
              <w:rPr>
                <w:sz w:val="20"/>
              </w:rPr>
              <w:t xml:space="preserve">Индекс производства продукции сельского хозяйства (в сопоставимых ценах) к уровню 2021 года</w:t>
            </w:r>
          </w:p>
        </w:tc>
        <w:tc>
          <w:tcPr>
            <w:tcW w:w="1361" w:type="dxa"/>
          </w:tcPr>
          <w:p>
            <w:pPr>
              <w:pStyle w:val="0"/>
              <w:jc w:val="center"/>
            </w:pPr>
            <w:r>
              <w:rPr>
                <w:sz w:val="20"/>
              </w:rPr>
              <w:t xml:space="preserve">%</w:t>
            </w:r>
          </w:p>
        </w:tc>
        <w:tc>
          <w:tcPr>
            <w:tcW w:w="1361" w:type="dxa"/>
          </w:tcPr>
          <w:p>
            <w:pPr>
              <w:pStyle w:val="0"/>
              <w:jc w:val="center"/>
            </w:pPr>
            <w:r>
              <w:rPr>
                <w:sz w:val="20"/>
              </w:rPr>
              <w:t xml:space="preserve">108,7</w:t>
            </w:r>
          </w:p>
        </w:tc>
        <w:tc>
          <w:tcPr>
            <w:tcW w:w="1304" w:type="dxa"/>
          </w:tcPr>
          <w:p>
            <w:pPr>
              <w:pStyle w:val="0"/>
              <w:jc w:val="center"/>
            </w:pPr>
            <w:r>
              <w:rPr>
                <w:sz w:val="20"/>
              </w:rPr>
              <w:t xml:space="preserve">124,1</w:t>
            </w:r>
          </w:p>
        </w:tc>
      </w:tr>
      <w:tr>
        <w:tc>
          <w:tcPr>
            <w:tcW w:w="929" w:type="dxa"/>
          </w:tcPr>
          <w:p>
            <w:pPr>
              <w:pStyle w:val="0"/>
              <w:jc w:val="center"/>
            </w:pPr>
            <w:r>
              <w:rPr>
                <w:sz w:val="20"/>
              </w:rPr>
              <w:t xml:space="preserve">23</w:t>
            </w:r>
          </w:p>
        </w:tc>
        <w:tc>
          <w:tcPr>
            <w:tcW w:w="4082" w:type="dxa"/>
          </w:tcPr>
          <w:p>
            <w:pPr>
              <w:pStyle w:val="0"/>
            </w:pPr>
            <w:r>
              <w:rPr>
                <w:sz w:val="20"/>
              </w:rPr>
              <w:t xml:space="preserve">Общий объем услуг, оказанных в сфере туризма</w:t>
            </w:r>
          </w:p>
        </w:tc>
        <w:tc>
          <w:tcPr>
            <w:tcW w:w="1361" w:type="dxa"/>
          </w:tcPr>
          <w:p>
            <w:pPr>
              <w:pStyle w:val="0"/>
              <w:jc w:val="center"/>
            </w:pPr>
            <w:r>
              <w:rPr>
                <w:sz w:val="20"/>
              </w:rPr>
              <w:t xml:space="preserve">млн. рублей</w:t>
            </w:r>
          </w:p>
        </w:tc>
        <w:tc>
          <w:tcPr>
            <w:tcW w:w="1361" w:type="dxa"/>
          </w:tcPr>
          <w:p>
            <w:pPr>
              <w:pStyle w:val="0"/>
              <w:jc w:val="center"/>
            </w:pPr>
            <w:r>
              <w:rPr>
                <w:sz w:val="20"/>
              </w:rPr>
              <w:t xml:space="preserve">7860</w:t>
            </w:r>
          </w:p>
        </w:tc>
        <w:tc>
          <w:tcPr>
            <w:tcW w:w="1304" w:type="dxa"/>
          </w:tcPr>
          <w:p>
            <w:pPr>
              <w:pStyle w:val="0"/>
              <w:jc w:val="center"/>
            </w:pPr>
            <w:r>
              <w:rPr>
                <w:sz w:val="20"/>
              </w:rPr>
              <w:t xml:space="preserve">8200</w:t>
            </w:r>
          </w:p>
        </w:tc>
      </w:tr>
      <w:tr>
        <w:tc>
          <w:tcPr>
            <w:tcW w:w="929" w:type="dxa"/>
          </w:tcPr>
          <w:p>
            <w:pPr>
              <w:pStyle w:val="0"/>
              <w:jc w:val="center"/>
            </w:pPr>
            <w:r>
              <w:rPr>
                <w:sz w:val="20"/>
              </w:rPr>
              <w:t xml:space="preserve">24</w:t>
            </w:r>
          </w:p>
        </w:tc>
        <w:tc>
          <w:tcPr>
            <w:tcW w:w="4082" w:type="dxa"/>
          </w:tcPr>
          <w:p>
            <w:pPr>
              <w:pStyle w:val="0"/>
            </w:pPr>
            <w:r>
              <w:rPr>
                <w:sz w:val="20"/>
              </w:rPr>
              <w:t xml:space="preserve">Темп роста дохода в расчете на одного работника субъекта малого и среднего предпринимательства</w:t>
            </w:r>
          </w:p>
        </w:tc>
        <w:tc>
          <w:tcPr>
            <w:tcW w:w="1361" w:type="dxa"/>
          </w:tcPr>
          <w:p>
            <w:pPr>
              <w:pStyle w:val="0"/>
              <w:jc w:val="center"/>
            </w:pPr>
            <w:r>
              <w:rPr>
                <w:sz w:val="20"/>
              </w:rPr>
              <w:t xml:space="preserve">%</w:t>
            </w:r>
          </w:p>
        </w:tc>
        <w:tc>
          <w:tcPr>
            <w:tcW w:w="1361" w:type="dxa"/>
          </w:tcPr>
          <w:p>
            <w:pPr>
              <w:pStyle w:val="0"/>
              <w:jc w:val="center"/>
            </w:pPr>
            <w:r>
              <w:rPr>
                <w:sz w:val="20"/>
              </w:rPr>
              <w:t xml:space="preserve">107,9</w:t>
            </w:r>
          </w:p>
        </w:tc>
        <w:tc>
          <w:tcPr>
            <w:tcW w:w="1304" w:type="dxa"/>
          </w:tcPr>
          <w:p>
            <w:pPr>
              <w:pStyle w:val="0"/>
              <w:jc w:val="center"/>
            </w:pPr>
            <w:r>
              <w:rPr>
                <w:sz w:val="20"/>
              </w:rPr>
              <w:t xml:space="preserve">128,12</w:t>
            </w:r>
          </w:p>
        </w:tc>
      </w:tr>
      <w:tr>
        <w:tc>
          <w:tcPr>
            <w:tcW w:w="929" w:type="dxa"/>
          </w:tcPr>
          <w:p>
            <w:pPr>
              <w:pStyle w:val="0"/>
              <w:jc w:val="center"/>
            </w:pPr>
            <w:r>
              <w:rPr>
                <w:sz w:val="20"/>
              </w:rPr>
              <w:t xml:space="preserve">25</w:t>
            </w:r>
          </w:p>
        </w:tc>
        <w:tc>
          <w:tcPr>
            <w:tcW w:w="4082" w:type="dxa"/>
          </w:tcPr>
          <w:p>
            <w:pPr>
              <w:pStyle w:val="0"/>
            </w:pPr>
            <w:r>
              <w:rPr>
                <w:sz w:val="20"/>
              </w:rPr>
              <w:t xml:space="preserve">Темп роста (индекс роста) физического объема инвестиций в основной капитал, за исключением инвестиций инфраструктурных монополий (федеральные проекты) и бюджетных ассигнований федерального бюджета</w:t>
            </w:r>
          </w:p>
        </w:tc>
        <w:tc>
          <w:tcPr>
            <w:tcW w:w="1361" w:type="dxa"/>
          </w:tcPr>
          <w:p>
            <w:pPr>
              <w:pStyle w:val="0"/>
              <w:jc w:val="center"/>
            </w:pPr>
            <w:r>
              <w:rPr>
                <w:sz w:val="20"/>
              </w:rPr>
              <w:t xml:space="preserve">%</w:t>
            </w:r>
          </w:p>
        </w:tc>
        <w:tc>
          <w:tcPr>
            <w:tcW w:w="1361" w:type="dxa"/>
          </w:tcPr>
          <w:p>
            <w:pPr>
              <w:pStyle w:val="0"/>
              <w:jc w:val="center"/>
            </w:pPr>
            <w:r>
              <w:rPr>
                <w:sz w:val="20"/>
              </w:rPr>
              <w:t xml:space="preserve">138,4</w:t>
            </w:r>
          </w:p>
        </w:tc>
        <w:tc>
          <w:tcPr>
            <w:tcW w:w="1304" w:type="dxa"/>
          </w:tcPr>
          <w:p>
            <w:pPr>
              <w:pStyle w:val="0"/>
              <w:jc w:val="center"/>
            </w:pPr>
            <w:r>
              <w:rPr>
                <w:sz w:val="20"/>
              </w:rPr>
              <w:t xml:space="preserve">165</w:t>
            </w:r>
          </w:p>
        </w:tc>
      </w:tr>
      <w:tr>
        <w:tc>
          <w:tcPr>
            <w:tcW w:w="929" w:type="dxa"/>
          </w:tcPr>
          <w:p>
            <w:pPr>
              <w:pStyle w:val="0"/>
              <w:jc w:val="center"/>
            </w:pPr>
            <w:r>
              <w:rPr>
                <w:sz w:val="20"/>
              </w:rPr>
              <w:t xml:space="preserve">26</w:t>
            </w:r>
          </w:p>
        </w:tc>
        <w:tc>
          <w:tcPr>
            <w:tcW w:w="4082" w:type="dxa"/>
          </w:tcPr>
          <w:p>
            <w:pPr>
              <w:pStyle w:val="0"/>
            </w:pPr>
            <w:r>
              <w:rPr>
                <w:sz w:val="20"/>
              </w:rPr>
              <w:t xml:space="preserve">Количество ликвидированных опасных для населения и окружающей среды объектов накопленного вреда окружающей среде</w:t>
            </w:r>
          </w:p>
        </w:tc>
        <w:tc>
          <w:tcPr>
            <w:tcW w:w="1361" w:type="dxa"/>
          </w:tcPr>
          <w:p>
            <w:pPr>
              <w:pStyle w:val="0"/>
              <w:jc w:val="center"/>
            </w:pPr>
            <w:r>
              <w:rPr>
                <w:sz w:val="20"/>
              </w:rPr>
              <w:t xml:space="preserve">штук</w:t>
            </w:r>
          </w:p>
        </w:tc>
        <w:tc>
          <w:tcPr>
            <w:tcW w:w="1361" w:type="dxa"/>
          </w:tcPr>
          <w:p>
            <w:pPr>
              <w:pStyle w:val="0"/>
              <w:jc w:val="center"/>
            </w:pPr>
            <w:r>
              <w:rPr>
                <w:sz w:val="20"/>
              </w:rPr>
              <w:t xml:space="preserve">0</w:t>
            </w:r>
          </w:p>
        </w:tc>
        <w:tc>
          <w:tcPr>
            <w:tcW w:w="1304" w:type="dxa"/>
          </w:tcPr>
          <w:p>
            <w:pPr>
              <w:pStyle w:val="0"/>
              <w:jc w:val="center"/>
            </w:pPr>
            <w:r>
              <w:rPr>
                <w:sz w:val="20"/>
              </w:rPr>
              <w:t xml:space="preserve">2</w:t>
            </w:r>
          </w:p>
        </w:tc>
      </w:tr>
      <w:tr>
        <w:tc>
          <w:tcPr>
            <w:tcW w:w="929" w:type="dxa"/>
          </w:tcPr>
          <w:p>
            <w:pPr>
              <w:pStyle w:val="0"/>
              <w:jc w:val="center"/>
            </w:pPr>
            <w:r>
              <w:rPr>
                <w:sz w:val="20"/>
              </w:rPr>
              <w:t xml:space="preserve">27</w:t>
            </w:r>
          </w:p>
        </w:tc>
        <w:tc>
          <w:tcPr>
            <w:tcW w:w="4082" w:type="dxa"/>
          </w:tcPr>
          <w:p>
            <w:pPr>
              <w:pStyle w:val="0"/>
            </w:pPr>
            <w:r>
              <w:rPr>
                <w:sz w:val="20"/>
              </w:rPr>
              <w:t xml:space="preserve">Количество проектов, одобренных наблюдательным советом Фонда развития промышленности Тульской области для предоставления финансирования</w:t>
            </w:r>
          </w:p>
        </w:tc>
        <w:tc>
          <w:tcPr>
            <w:tcW w:w="1361" w:type="dxa"/>
          </w:tcPr>
          <w:p>
            <w:pPr>
              <w:pStyle w:val="0"/>
              <w:jc w:val="center"/>
            </w:pPr>
            <w:r>
              <w:rPr>
                <w:sz w:val="20"/>
              </w:rPr>
              <w:t xml:space="preserve">ед.</w:t>
            </w:r>
          </w:p>
        </w:tc>
        <w:tc>
          <w:tcPr>
            <w:tcW w:w="1361" w:type="dxa"/>
          </w:tcPr>
          <w:p>
            <w:pPr>
              <w:pStyle w:val="0"/>
              <w:jc w:val="center"/>
            </w:pPr>
            <w:r>
              <w:rPr>
                <w:sz w:val="20"/>
              </w:rPr>
              <w:t xml:space="preserve">3</w:t>
            </w:r>
          </w:p>
        </w:tc>
        <w:tc>
          <w:tcPr>
            <w:tcW w:w="1304" w:type="dxa"/>
          </w:tcPr>
          <w:p>
            <w:pPr>
              <w:pStyle w:val="0"/>
              <w:jc w:val="center"/>
            </w:pPr>
            <w:r>
              <w:rPr>
                <w:sz w:val="20"/>
              </w:rPr>
              <w:t xml:space="preserve">18</w:t>
            </w:r>
          </w:p>
        </w:tc>
      </w:tr>
      <w:tr>
        <w:tc>
          <w:tcPr>
            <w:tcW w:w="929" w:type="dxa"/>
          </w:tcPr>
          <w:p>
            <w:pPr>
              <w:pStyle w:val="0"/>
              <w:jc w:val="center"/>
            </w:pPr>
            <w:r>
              <w:rPr>
                <w:sz w:val="20"/>
              </w:rPr>
              <w:t xml:space="preserve">28</w:t>
            </w:r>
          </w:p>
        </w:tc>
        <w:tc>
          <w:tcPr>
            <w:tcW w:w="4082" w:type="dxa"/>
          </w:tcPr>
          <w:p>
            <w:pPr>
              <w:pStyle w:val="0"/>
            </w:pPr>
            <w:r>
              <w:rPr>
                <w:sz w:val="20"/>
              </w:rPr>
              <w:t xml:space="preserve">Количество промышленных кластеров, включенных в реестр Министерства промышленности и торговли Российской Федерации, в которых участвуют предприятия региона</w:t>
            </w:r>
          </w:p>
        </w:tc>
        <w:tc>
          <w:tcPr>
            <w:tcW w:w="1361" w:type="dxa"/>
          </w:tcPr>
          <w:p>
            <w:pPr>
              <w:pStyle w:val="0"/>
              <w:jc w:val="center"/>
            </w:pPr>
            <w:r>
              <w:rPr>
                <w:sz w:val="20"/>
              </w:rPr>
              <w:t xml:space="preserve">ед.</w:t>
            </w:r>
          </w:p>
        </w:tc>
        <w:tc>
          <w:tcPr>
            <w:tcW w:w="1361" w:type="dxa"/>
          </w:tcPr>
          <w:p>
            <w:pPr>
              <w:pStyle w:val="0"/>
              <w:jc w:val="center"/>
            </w:pPr>
            <w:r>
              <w:rPr>
                <w:sz w:val="20"/>
              </w:rPr>
              <w:t xml:space="preserve">5</w:t>
            </w:r>
          </w:p>
        </w:tc>
        <w:tc>
          <w:tcPr>
            <w:tcW w:w="1304" w:type="dxa"/>
          </w:tcPr>
          <w:p>
            <w:pPr>
              <w:pStyle w:val="0"/>
              <w:jc w:val="center"/>
            </w:pPr>
            <w:r>
              <w:rPr>
                <w:sz w:val="20"/>
              </w:rPr>
              <w:t xml:space="preserve">12</w:t>
            </w:r>
          </w:p>
        </w:tc>
      </w:tr>
      <w:tr>
        <w:tc>
          <w:tcPr>
            <w:tcW w:w="929" w:type="dxa"/>
          </w:tcPr>
          <w:p>
            <w:pPr>
              <w:pStyle w:val="0"/>
              <w:jc w:val="center"/>
            </w:pPr>
            <w:r>
              <w:rPr>
                <w:sz w:val="20"/>
              </w:rPr>
              <w:t xml:space="preserve">29</w:t>
            </w:r>
          </w:p>
        </w:tc>
        <w:tc>
          <w:tcPr>
            <w:tcW w:w="4082" w:type="dxa"/>
          </w:tcPr>
          <w:p>
            <w:pPr>
              <w:pStyle w:val="0"/>
            </w:pPr>
            <w:r>
              <w:rPr>
                <w:sz w:val="20"/>
              </w:rPr>
              <w:t xml:space="preserve">Доля домохозяйств, которым обеспечена возможность качественного высокоскоростного широкополосного доступа в Интернет</w:t>
            </w:r>
          </w:p>
        </w:tc>
        <w:tc>
          <w:tcPr>
            <w:tcW w:w="1361" w:type="dxa"/>
          </w:tcPr>
          <w:p>
            <w:pPr>
              <w:pStyle w:val="0"/>
              <w:jc w:val="center"/>
            </w:pPr>
            <w:r>
              <w:rPr>
                <w:sz w:val="20"/>
              </w:rPr>
              <w:t xml:space="preserve">%</w:t>
            </w:r>
          </w:p>
        </w:tc>
        <w:tc>
          <w:tcPr>
            <w:tcW w:w="1361" w:type="dxa"/>
          </w:tcPr>
          <w:p>
            <w:pPr>
              <w:pStyle w:val="0"/>
              <w:jc w:val="center"/>
            </w:pPr>
            <w:r>
              <w:rPr>
                <w:sz w:val="20"/>
              </w:rPr>
              <w:t xml:space="preserve">95,6</w:t>
            </w:r>
          </w:p>
        </w:tc>
        <w:tc>
          <w:tcPr>
            <w:tcW w:w="1304" w:type="dxa"/>
          </w:tcPr>
          <w:p>
            <w:pPr>
              <w:pStyle w:val="0"/>
              <w:jc w:val="center"/>
            </w:pPr>
            <w:r>
              <w:rPr>
                <w:sz w:val="20"/>
              </w:rPr>
              <w:t xml:space="preserve">97</w:t>
            </w:r>
          </w:p>
        </w:tc>
      </w:tr>
      <w:tr>
        <w:tc>
          <w:tcPr>
            <w:tcW w:w="929" w:type="dxa"/>
          </w:tcPr>
          <w:p>
            <w:pPr>
              <w:pStyle w:val="0"/>
              <w:jc w:val="center"/>
            </w:pPr>
            <w:r>
              <w:rPr>
                <w:sz w:val="20"/>
              </w:rPr>
              <w:t xml:space="preserve">30</w:t>
            </w:r>
          </w:p>
        </w:tc>
        <w:tc>
          <w:tcPr>
            <w:tcW w:w="4082" w:type="dxa"/>
          </w:tcPr>
          <w:p>
            <w:pPr>
              <w:pStyle w:val="0"/>
            </w:pPr>
            <w:r>
              <w:rPr>
                <w:sz w:val="20"/>
              </w:rPr>
              <w:t xml:space="preserve">"Цифровая зрелость" государственного и муниципального управления, ключевых отраслей экономики и социальной сферы, в том числе здравоохранения и образования</w:t>
            </w:r>
          </w:p>
        </w:tc>
        <w:tc>
          <w:tcPr>
            <w:tcW w:w="1361" w:type="dxa"/>
          </w:tcPr>
          <w:p>
            <w:pPr>
              <w:pStyle w:val="0"/>
              <w:jc w:val="center"/>
            </w:pPr>
            <w:r>
              <w:rPr>
                <w:sz w:val="20"/>
              </w:rPr>
              <w:t xml:space="preserve">%</w:t>
            </w:r>
          </w:p>
        </w:tc>
        <w:tc>
          <w:tcPr>
            <w:tcW w:w="1361" w:type="dxa"/>
          </w:tcPr>
          <w:p>
            <w:pPr>
              <w:pStyle w:val="0"/>
              <w:jc w:val="center"/>
            </w:pPr>
            <w:r>
              <w:rPr>
                <w:sz w:val="20"/>
              </w:rPr>
              <w:t xml:space="preserve">39,8</w:t>
            </w:r>
          </w:p>
        </w:tc>
        <w:tc>
          <w:tcPr>
            <w:tcW w:w="1304" w:type="dxa"/>
          </w:tcPr>
          <w:p>
            <w:pPr>
              <w:pStyle w:val="0"/>
              <w:jc w:val="center"/>
            </w:pPr>
            <w:r>
              <w:rPr>
                <w:sz w:val="20"/>
              </w:rPr>
              <w:t xml:space="preserve">100</w:t>
            </w:r>
          </w:p>
        </w:tc>
      </w:tr>
      <w:tr>
        <w:tc>
          <w:tcPr>
            <w:tcW w:w="929" w:type="dxa"/>
          </w:tcPr>
          <w:p>
            <w:pPr>
              <w:pStyle w:val="0"/>
              <w:jc w:val="center"/>
            </w:pPr>
            <w:r>
              <w:rPr>
                <w:sz w:val="20"/>
              </w:rPr>
              <w:t xml:space="preserve">31</w:t>
            </w:r>
          </w:p>
        </w:tc>
        <w:tc>
          <w:tcPr>
            <w:tcW w:w="4082" w:type="dxa"/>
          </w:tcPr>
          <w:p>
            <w:pPr>
              <w:pStyle w:val="0"/>
            </w:pPr>
            <w:r>
              <w:rPr>
                <w:sz w:val="20"/>
              </w:rPr>
              <w:t xml:space="preserve">Реальный рост несырьевого неэнергетического экспорта</w:t>
            </w:r>
          </w:p>
        </w:tc>
        <w:tc>
          <w:tcPr>
            <w:tcW w:w="1361" w:type="dxa"/>
          </w:tcPr>
          <w:p>
            <w:pPr>
              <w:pStyle w:val="0"/>
              <w:jc w:val="center"/>
            </w:pPr>
            <w:r>
              <w:rPr>
                <w:sz w:val="20"/>
              </w:rPr>
              <w:t xml:space="preserve">% к 2023 году</w:t>
            </w:r>
          </w:p>
        </w:tc>
        <w:tc>
          <w:tcPr>
            <w:tcW w:w="1361" w:type="dxa"/>
          </w:tcPr>
          <w:p>
            <w:pPr>
              <w:pStyle w:val="0"/>
              <w:jc w:val="center"/>
            </w:pPr>
            <w:r>
              <w:rPr>
                <w:sz w:val="20"/>
              </w:rPr>
              <w:t xml:space="preserve">26</w:t>
            </w:r>
          </w:p>
        </w:tc>
        <w:tc>
          <w:tcPr>
            <w:tcW w:w="1304" w:type="dxa"/>
          </w:tcPr>
          <w:p>
            <w:pPr>
              <w:pStyle w:val="0"/>
              <w:jc w:val="center"/>
            </w:pPr>
            <w:r>
              <w:rPr>
                <w:sz w:val="20"/>
              </w:rPr>
              <w:t xml:space="preserve">67</w:t>
            </w:r>
          </w:p>
        </w:tc>
      </w:tr>
      <w:tr>
        <w:tc>
          <w:tcPr>
            <w:tcW w:w="929" w:type="dxa"/>
          </w:tcPr>
          <w:p>
            <w:pPr>
              <w:pStyle w:val="0"/>
              <w:jc w:val="center"/>
            </w:pPr>
            <w:r>
              <w:rPr>
                <w:sz w:val="20"/>
              </w:rPr>
              <w:t xml:space="preserve">32</w:t>
            </w:r>
          </w:p>
        </w:tc>
        <w:tc>
          <w:tcPr>
            <w:tcW w:w="4082" w:type="dxa"/>
          </w:tcPr>
          <w:p>
            <w:pPr>
              <w:pStyle w:val="0"/>
            </w:pPr>
            <w:r>
              <w:rPr>
                <w:sz w:val="20"/>
              </w:rPr>
              <w:t xml:space="preserve">Количество экспортеров, являющихся субъектами МСП</w:t>
            </w:r>
          </w:p>
        </w:tc>
        <w:tc>
          <w:tcPr>
            <w:tcW w:w="1361" w:type="dxa"/>
          </w:tcPr>
          <w:p>
            <w:pPr>
              <w:pStyle w:val="0"/>
              <w:jc w:val="center"/>
            </w:pPr>
            <w:r>
              <w:rPr>
                <w:sz w:val="20"/>
              </w:rPr>
              <w:t xml:space="preserve">ед.</w:t>
            </w:r>
          </w:p>
        </w:tc>
        <w:tc>
          <w:tcPr>
            <w:tcW w:w="1361" w:type="dxa"/>
          </w:tcPr>
          <w:p>
            <w:pPr>
              <w:pStyle w:val="0"/>
              <w:jc w:val="center"/>
            </w:pPr>
            <w:r>
              <w:rPr>
                <w:sz w:val="20"/>
              </w:rPr>
              <w:t xml:space="preserve">485</w:t>
            </w:r>
          </w:p>
        </w:tc>
        <w:tc>
          <w:tcPr>
            <w:tcW w:w="1304" w:type="dxa"/>
          </w:tcPr>
          <w:p>
            <w:pPr>
              <w:pStyle w:val="0"/>
              <w:jc w:val="center"/>
            </w:pPr>
            <w:r>
              <w:rPr>
                <w:sz w:val="20"/>
              </w:rPr>
              <w:t xml:space="preserve">505</w:t>
            </w:r>
          </w:p>
        </w:tc>
      </w:tr>
      <w:tr>
        <w:tc>
          <w:tcPr>
            <w:tcW w:w="929" w:type="dxa"/>
          </w:tcPr>
          <w:p>
            <w:pPr>
              <w:pStyle w:val="0"/>
              <w:jc w:val="center"/>
            </w:pPr>
            <w:r>
              <w:rPr>
                <w:sz w:val="20"/>
              </w:rPr>
              <w:t xml:space="preserve">33</w:t>
            </w:r>
          </w:p>
        </w:tc>
        <w:tc>
          <w:tcPr>
            <w:tcW w:w="4082" w:type="dxa"/>
          </w:tcPr>
          <w:p>
            <w:pPr>
              <w:pStyle w:val="0"/>
            </w:pPr>
            <w:r>
              <w:rPr>
                <w:sz w:val="20"/>
              </w:rPr>
              <w:t xml:space="preserve">Качество среды для жизни в опорных населенных пунктах</w:t>
            </w:r>
          </w:p>
        </w:tc>
        <w:tc>
          <w:tcPr>
            <w:tcW w:w="1361" w:type="dxa"/>
          </w:tcPr>
          <w:p>
            <w:pPr>
              <w:pStyle w:val="0"/>
              <w:jc w:val="center"/>
            </w:pPr>
            <w:r>
              <w:rPr>
                <w:sz w:val="20"/>
              </w:rPr>
              <w:t xml:space="preserve">%</w:t>
            </w:r>
          </w:p>
        </w:tc>
        <w:tc>
          <w:tcPr>
            <w:tcW w:w="1361" w:type="dxa"/>
          </w:tcPr>
          <w:p>
            <w:pPr>
              <w:pStyle w:val="0"/>
              <w:jc w:val="center"/>
            </w:pPr>
            <w:r>
              <w:rPr>
                <w:sz w:val="20"/>
              </w:rPr>
              <w:t xml:space="preserve">13,63</w:t>
            </w:r>
          </w:p>
        </w:tc>
        <w:tc>
          <w:tcPr>
            <w:tcW w:w="1304" w:type="dxa"/>
          </w:tcPr>
          <w:p>
            <w:pPr>
              <w:pStyle w:val="0"/>
              <w:jc w:val="center"/>
            </w:pPr>
            <w:r>
              <w:rPr>
                <w:sz w:val="20"/>
              </w:rPr>
              <w:t xml:space="preserve">32</w:t>
            </w:r>
          </w:p>
        </w:tc>
      </w:tr>
      <w:tr>
        <w:tc>
          <w:tcPr>
            <w:tcW w:w="929" w:type="dxa"/>
          </w:tcPr>
          <w:p>
            <w:pPr>
              <w:pStyle w:val="0"/>
              <w:jc w:val="center"/>
            </w:pPr>
            <w:r>
              <w:rPr>
                <w:sz w:val="20"/>
              </w:rPr>
              <w:t xml:space="preserve">34</w:t>
            </w:r>
          </w:p>
        </w:tc>
        <w:tc>
          <w:tcPr>
            <w:tcW w:w="4082" w:type="dxa"/>
          </w:tcPr>
          <w:p>
            <w:pPr>
              <w:pStyle w:val="0"/>
            </w:pPr>
            <w:r>
              <w:rPr>
                <w:sz w:val="20"/>
              </w:rPr>
              <w:t xml:space="preserve">Объем ввода в эксплуатацию жилой и нежилой недвижимости</w:t>
            </w:r>
          </w:p>
        </w:tc>
        <w:tc>
          <w:tcPr>
            <w:tcW w:w="1361" w:type="dxa"/>
          </w:tcPr>
          <w:p>
            <w:pPr>
              <w:pStyle w:val="0"/>
              <w:jc w:val="center"/>
            </w:pPr>
            <w:r>
              <w:rPr>
                <w:sz w:val="20"/>
              </w:rPr>
              <w:t xml:space="preserve">млн. кв. м</w:t>
            </w:r>
          </w:p>
        </w:tc>
        <w:tc>
          <w:tcPr>
            <w:tcW w:w="1361" w:type="dxa"/>
          </w:tcPr>
          <w:p>
            <w:pPr>
              <w:pStyle w:val="0"/>
              <w:jc w:val="center"/>
            </w:pPr>
            <w:r>
              <w:rPr>
                <w:sz w:val="20"/>
              </w:rPr>
              <w:t xml:space="preserve">1,284</w:t>
            </w:r>
          </w:p>
        </w:tc>
        <w:tc>
          <w:tcPr>
            <w:tcW w:w="1304" w:type="dxa"/>
          </w:tcPr>
          <w:p>
            <w:pPr>
              <w:pStyle w:val="0"/>
              <w:jc w:val="center"/>
            </w:pPr>
            <w:r>
              <w:rPr>
                <w:sz w:val="20"/>
              </w:rPr>
              <w:t xml:space="preserve">1,343</w:t>
            </w:r>
          </w:p>
        </w:tc>
      </w:tr>
      <w:tr>
        <w:tc>
          <w:tcPr>
            <w:tcW w:w="929" w:type="dxa"/>
          </w:tcPr>
          <w:p>
            <w:pPr>
              <w:pStyle w:val="0"/>
              <w:jc w:val="center"/>
            </w:pPr>
            <w:r>
              <w:rPr>
                <w:sz w:val="20"/>
              </w:rPr>
              <w:t xml:space="preserve">35</w:t>
            </w:r>
          </w:p>
        </w:tc>
        <w:tc>
          <w:tcPr>
            <w:tcW w:w="4082" w:type="dxa"/>
          </w:tcPr>
          <w:p>
            <w:pPr>
              <w:pStyle w:val="0"/>
            </w:pPr>
            <w:r>
              <w:rPr>
                <w:sz w:val="20"/>
              </w:rPr>
              <w:t xml:space="preserve">Количество семей, улучшивших жилищные условия</w:t>
            </w:r>
          </w:p>
        </w:tc>
        <w:tc>
          <w:tcPr>
            <w:tcW w:w="1361" w:type="dxa"/>
          </w:tcPr>
          <w:p>
            <w:pPr>
              <w:pStyle w:val="0"/>
              <w:jc w:val="center"/>
            </w:pPr>
            <w:r>
              <w:rPr>
                <w:sz w:val="20"/>
              </w:rPr>
              <w:t xml:space="preserve">тыс. семей</w:t>
            </w:r>
          </w:p>
        </w:tc>
        <w:tc>
          <w:tcPr>
            <w:tcW w:w="1361" w:type="dxa"/>
          </w:tcPr>
          <w:p>
            <w:pPr>
              <w:pStyle w:val="0"/>
              <w:jc w:val="center"/>
            </w:pPr>
            <w:r>
              <w:rPr>
                <w:sz w:val="20"/>
              </w:rPr>
              <w:t xml:space="preserve">53,11</w:t>
            </w:r>
          </w:p>
        </w:tc>
        <w:tc>
          <w:tcPr>
            <w:tcW w:w="1304" w:type="dxa"/>
          </w:tcPr>
          <w:p>
            <w:pPr>
              <w:pStyle w:val="0"/>
              <w:jc w:val="center"/>
            </w:pPr>
            <w:r>
              <w:rPr>
                <w:sz w:val="20"/>
              </w:rPr>
              <w:t xml:space="preserve">75,01</w:t>
            </w:r>
          </w:p>
        </w:tc>
      </w:tr>
      <w:tr>
        <w:tc>
          <w:tcPr>
            <w:tcW w:w="929" w:type="dxa"/>
          </w:tcPr>
          <w:p>
            <w:pPr>
              <w:pStyle w:val="0"/>
              <w:jc w:val="center"/>
            </w:pPr>
            <w:r>
              <w:rPr>
                <w:sz w:val="20"/>
              </w:rPr>
              <w:t xml:space="preserve">36</w:t>
            </w:r>
          </w:p>
        </w:tc>
        <w:tc>
          <w:tcPr>
            <w:tcW w:w="4082" w:type="dxa"/>
          </w:tcPr>
          <w:p>
            <w:pPr>
              <w:pStyle w:val="0"/>
            </w:pPr>
            <w:r>
              <w:rPr>
                <w:sz w:val="20"/>
              </w:rPr>
              <w:t xml:space="preserve">Численность населения, для которого улучшится качество предоставления коммунальных услуг (в сфере тепло-, водоснабжения и водоотведения)</w:t>
            </w:r>
          </w:p>
        </w:tc>
        <w:tc>
          <w:tcPr>
            <w:tcW w:w="1361" w:type="dxa"/>
          </w:tcPr>
          <w:p>
            <w:pPr>
              <w:pStyle w:val="0"/>
              <w:jc w:val="center"/>
            </w:pPr>
            <w:r>
              <w:rPr>
                <w:sz w:val="20"/>
              </w:rPr>
              <w:t xml:space="preserve">тыс. человек</w:t>
            </w:r>
          </w:p>
        </w:tc>
        <w:tc>
          <w:tcPr>
            <w:tcW w:w="1361" w:type="dxa"/>
          </w:tcPr>
          <w:p>
            <w:pPr>
              <w:pStyle w:val="0"/>
              <w:jc w:val="center"/>
            </w:pPr>
            <w:r>
              <w:rPr>
                <w:sz w:val="20"/>
              </w:rPr>
              <w:t xml:space="preserve">14,3</w:t>
            </w:r>
          </w:p>
        </w:tc>
        <w:tc>
          <w:tcPr>
            <w:tcW w:w="1304" w:type="dxa"/>
          </w:tcPr>
          <w:p>
            <w:pPr>
              <w:pStyle w:val="0"/>
              <w:jc w:val="center"/>
            </w:pPr>
            <w:r>
              <w:rPr>
                <w:sz w:val="20"/>
              </w:rPr>
              <w:t xml:space="preserve">220</w:t>
            </w:r>
          </w:p>
        </w:tc>
      </w:tr>
      <w:tr>
        <w:tc>
          <w:tcPr>
            <w:tcW w:w="929" w:type="dxa"/>
          </w:tcPr>
          <w:p>
            <w:pPr>
              <w:pStyle w:val="0"/>
              <w:jc w:val="center"/>
            </w:pPr>
            <w:r>
              <w:rPr>
                <w:sz w:val="20"/>
              </w:rPr>
              <w:t xml:space="preserve">37</w:t>
            </w:r>
          </w:p>
        </w:tc>
        <w:tc>
          <w:tcPr>
            <w:tcW w:w="4082" w:type="dxa"/>
          </w:tcPr>
          <w:p>
            <w:pPr>
              <w:pStyle w:val="0"/>
            </w:pPr>
            <w:r>
              <w:rPr>
                <w:sz w:val="20"/>
              </w:rPr>
              <w:t xml:space="preserve">Доля обрабатываемых ТКО в общей массе образованных ТКО</w:t>
            </w:r>
          </w:p>
        </w:tc>
        <w:tc>
          <w:tcPr>
            <w:tcW w:w="1361" w:type="dxa"/>
          </w:tcPr>
          <w:p>
            <w:pPr>
              <w:pStyle w:val="0"/>
              <w:jc w:val="center"/>
            </w:pPr>
            <w:r>
              <w:rPr>
                <w:sz w:val="20"/>
              </w:rPr>
              <w:t xml:space="preserve">%</w:t>
            </w:r>
          </w:p>
        </w:tc>
        <w:tc>
          <w:tcPr>
            <w:tcW w:w="1361" w:type="dxa"/>
          </w:tcPr>
          <w:p>
            <w:pPr>
              <w:pStyle w:val="0"/>
              <w:jc w:val="center"/>
            </w:pPr>
            <w:r>
              <w:rPr>
                <w:sz w:val="20"/>
              </w:rPr>
              <w:t xml:space="preserve">55</w:t>
            </w:r>
          </w:p>
        </w:tc>
        <w:tc>
          <w:tcPr>
            <w:tcW w:w="1304" w:type="dxa"/>
          </w:tcPr>
          <w:p>
            <w:pPr>
              <w:pStyle w:val="0"/>
              <w:jc w:val="center"/>
            </w:pPr>
            <w:r>
              <w:rPr>
                <w:sz w:val="20"/>
              </w:rPr>
              <w:t xml:space="preserve">100</w:t>
            </w:r>
          </w:p>
        </w:tc>
      </w:tr>
      <w:tr>
        <w:tc>
          <w:tcPr>
            <w:tcW w:w="929" w:type="dxa"/>
          </w:tcPr>
          <w:p>
            <w:pPr>
              <w:pStyle w:val="0"/>
              <w:jc w:val="center"/>
            </w:pPr>
            <w:r>
              <w:rPr>
                <w:sz w:val="20"/>
              </w:rPr>
              <w:t xml:space="preserve">38</w:t>
            </w:r>
          </w:p>
        </w:tc>
        <w:tc>
          <w:tcPr>
            <w:tcW w:w="4082" w:type="dxa"/>
          </w:tcPr>
          <w:p>
            <w:pPr>
              <w:pStyle w:val="0"/>
            </w:pPr>
            <w:r>
              <w:rPr>
                <w:sz w:val="20"/>
              </w:rPr>
              <w:t xml:space="preserve">Доля автомобильных дорог регионального и межмуниципального значения, соответствующих нормативным требованиям</w:t>
            </w:r>
          </w:p>
        </w:tc>
        <w:tc>
          <w:tcPr>
            <w:tcW w:w="1361" w:type="dxa"/>
          </w:tcPr>
          <w:p>
            <w:pPr>
              <w:pStyle w:val="0"/>
              <w:jc w:val="center"/>
            </w:pPr>
            <w:r>
              <w:rPr>
                <w:sz w:val="20"/>
              </w:rPr>
              <w:t xml:space="preserve">%</w:t>
            </w:r>
          </w:p>
        </w:tc>
        <w:tc>
          <w:tcPr>
            <w:tcW w:w="1361" w:type="dxa"/>
          </w:tcPr>
          <w:p>
            <w:pPr>
              <w:pStyle w:val="0"/>
              <w:jc w:val="center"/>
            </w:pPr>
            <w:r>
              <w:rPr>
                <w:sz w:val="20"/>
              </w:rPr>
              <w:t xml:space="preserve">52</w:t>
            </w:r>
          </w:p>
        </w:tc>
        <w:tc>
          <w:tcPr>
            <w:tcW w:w="1304" w:type="dxa"/>
          </w:tcPr>
          <w:p>
            <w:pPr>
              <w:pStyle w:val="0"/>
              <w:jc w:val="center"/>
            </w:pPr>
            <w:r>
              <w:rPr>
                <w:sz w:val="20"/>
              </w:rPr>
              <w:t xml:space="preserve">58</w:t>
            </w:r>
          </w:p>
        </w:tc>
      </w:tr>
      <w:tr>
        <w:tc>
          <w:tcPr>
            <w:tcW w:w="929" w:type="dxa"/>
          </w:tcPr>
          <w:p>
            <w:pPr>
              <w:pStyle w:val="0"/>
              <w:jc w:val="center"/>
            </w:pPr>
            <w:r>
              <w:rPr>
                <w:sz w:val="20"/>
              </w:rPr>
              <w:t xml:space="preserve">39</w:t>
            </w:r>
          </w:p>
        </w:tc>
        <w:tc>
          <w:tcPr>
            <w:tcW w:w="4082" w:type="dxa"/>
          </w:tcPr>
          <w:p>
            <w:pPr>
              <w:pStyle w:val="0"/>
            </w:pPr>
            <w:r>
              <w:rPr>
                <w:sz w:val="20"/>
              </w:rPr>
              <w:t xml:space="preserve">Доля автомобильных дорог, входящих в опорную сеть, соответствующих нормативным требованиям</w:t>
            </w:r>
          </w:p>
        </w:tc>
        <w:tc>
          <w:tcPr>
            <w:tcW w:w="1361" w:type="dxa"/>
          </w:tcPr>
          <w:p>
            <w:pPr>
              <w:pStyle w:val="0"/>
              <w:jc w:val="center"/>
            </w:pPr>
            <w:r>
              <w:rPr>
                <w:sz w:val="20"/>
              </w:rPr>
              <w:t xml:space="preserve">%</w:t>
            </w:r>
          </w:p>
        </w:tc>
        <w:tc>
          <w:tcPr>
            <w:tcW w:w="1361" w:type="dxa"/>
          </w:tcPr>
          <w:p>
            <w:pPr>
              <w:pStyle w:val="0"/>
              <w:jc w:val="center"/>
            </w:pPr>
            <w:r>
              <w:rPr>
                <w:sz w:val="20"/>
              </w:rPr>
              <w:t xml:space="preserve">80,282</w:t>
            </w:r>
          </w:p>
        </w:tc>
        <w:tc>
          <w:tcPr>
            <w:tcW w:w="1304" w:type="dxa"/>
          </w:tcPr>
          <w:p>
            <w:pPr>
              <w:pStyle w:val="0"/>
              <w:jc w:val="center"/>
            </w:pPr>
            <w:r>
              <w:rPr>
                <w:sz w:val="20"/>
              </w:rPr>
              <w:t xml:space="preserve">85,431</w:t>
            </w:r>
          </w:p>
        </w:tc>
      </w:tr>
      <w:tr>
        <w:tc>
          <w:tcPr>
            <w:tcW w:w="929" w:type="dxa"/>
          </w:tcPr>
          <w:p>
            <w:pPr>
              <w:pStyle w:val="0"/>
              <w:jc w:val="center"/>
            </w:pPr>
            <w:r>
              <w:rPr>
                <w:sz w:val="20"/>
              </w:rPr>
              <w:t xml:space="preserve">40</w:t>
            </w:r>
          </w:p>
        </w:tc>
        <w:tc>
          <w:tcPr>
            <w:tcW w:w="4082" w:type="dxa"/>
          </w:tcPr>
          <w:p>
            <w:pPr>
              <w:pStyle w:val="0"/>
            </w:pPr>
            <w:r>
              <w:rPr>
                <w:sz w:val="20"/>
              </w:rPr>
              <w:t xml:space="preserve">Доля парка общественного транспорта в агломерациях и городах, имеющего срок эксплуатации не старше нормативного</w:t>
            </w:r>
          </w:p>
        </w:tc>
        <w:tc>
          <w:tcPr>
            <w:tcW w:w="1361" w:type="dxa"/>
          </w:tcPr>
          <w:p>
            <w:pPr>
              <w:pStyle w:val="0"/>
              <w:jc w:val="center"/>
            </w:pPr>
            <w:r>
              <w:rPr>
                <w:sz w:val="20"/>
              </w:rPr>
              <w:t xml:space="preserve">%</w:t>
            </w:r>
          </w:p>
        </w:tc>
        <w:tc>
          <w:tcPr>
            <w:tcW w:w="1361" w:type="dxa"/>
          </w:tcPr>
          <w:p>
            <w:pPr>
              <w:pStyle w:val="0"/>
              <w:jc w:val="center"/>
            </w:pPr>
            <w:r>
              <w:rPr>
                <w:sz w:val="20"/>
              </w:rPr>
              <w:t xml:space="preserve">72</w:t>
            </w:r>
          </w:p>
        </w:tc>
        <w:tc>
          <w:tcPr>
            <w:tcW w:w="1304" w:type="dxa"/>
          </w:tcPr>
          <w:p>
            <w:pPr>
              <w:pStyle w:val="0"/>
              <w:jc w:val="center"/>
            </w:pPr>
            <w:r>
              <w:rPr>
                <w:sz w:val="20"/>
              </w:rPr>
              <w:t xml:space="preserve">85</w:t>
            </w:r>
          </w:p>
        </w:tc>
      </w:tr>
      <w:tr>
        <w:tc>
          <w:tcPr>
            <w:tcW w:w="929" w:type="dxa"/>
          </w:tcPr>
          <w:p>
            <w:pPr>
              <w:pStyle w:val="0"/>
              <w:jc w:val="center"/>
            </w:pPr>
            <w:r>
              <w:rPr>
                <w:sz w:val="20"/>
              </w:rPr>
              <w:t xml:space="preserve">41</w:t>
            </w:r>
          </w:p>
        </w:tc>
        <w:tc>
          <w:tcPr>
            <w:tcW w:w="4082" w:type="dxa"/>
          </w:tcPr>
          <w:p>
            <w:pPr>
              <w:pStyle w:val="0"/>
            </w:pPr>
            <w:r>
              <w:rPr>
                <w:sz w:val="20"/>
              </w:rPr>
              <w:t xml:space="preserve">Объем отгруженных инновационных товаров собственного производства, выполненных работ и услуг собственными силами</w:t>
            </w:r>
          </w:p>
        </w:tc>
        <w:tc>
          <w:tcPr>
            <w:tcW w:w="1361" w:type="dxa"/>
          </w:tcPr>
          <w:p>
            <w:pPr>
              <w:pStyle w:val="0"/>
              <w:jc w:val="center"/>
            </w:pPr>
            <w:r>
              <w:rPr>
                <w:sz w:val="20"/>
              </w:rPr>
              <w:t xml:space="preserve">млрд. рублей</w:t>
            </w:r>
          </w:p>
        </w:tc>
        <w:tc>
          <w:tcPr>
            <w:tcW w:w="1361" w:type="dxa"/>
          </w:tcPr>
          <w:p>
            <w:pPr>
              <w:pStyle w:val="0"/>
              <w:jc w:val="center"/>
            </w:pPr>
            <w:r>
              <w:rPr>
                <w:sz w:val="20"/>
              </w:rPr>
              <w:t xml:space="preserve">85,6</w:t>
            </w:r>
          </w:p>
        </w:tc>
        <w:tc>
          <w:tcPr>
            <w:tcW w:w="1304" w:type="dxa"/>
          </w:tcPr>
          <w:p>
            <w:pPr>
              <w:pStyle w:val="0"/>
              <w:jc w:val="center"/>
            </w:pPr>
            <w:r>
              <w:rPr>
                <w:sz w:val="20"/>
              </w:rPr>
              <w:t xml:space="preserve">230</w:t>
            </w:r>
          </w:p>
        </w:tc>
      </w:tr>
      <w:tr>
        <w:tc>
          <w:tcPr>
            <w:tcW w:w="929" w:type="dxa"/>
          </w:tcPr>
          <w:p>
            <w:pPr>
              <w:pStyle w:val="0"/>
              <w:jc w:val="center"/>
            </w:pPr>
            <w:r>
              <w:rPr>
                <w:sz w:val="20"/>
              </w:rPr>
              <w:t xml:space="preserve">42</w:t>
            </w:r>
          </w:p>
        </w:tc>
        <w:tc>
          <w:tcPr>
            <w:tcW w:w="4082" w:type="dxa"/>
          </w:tcPr>
          <w:p>
            <w:pPr>
              <w:pStyle w:val="0"/>
            </w:pPr>
            <w:r>
              <w:rPr>
                <w:sz w:val="20"/>
              </w:rPr>
              <w:t xml:space="preserve">Прирост численности исследователей до 39 лет</w:t>
            </w:r>
          </w:p>
        </w:tc>
        <w:tc>
          <w:tcPr>
            <w:tcW w:w="1361" w:type="dxa"/>
          </w:tcPr>
          <w:p>
            <w:pPr>
              <w:pStyle w:val="0"/>
              <w:jc w:val="center"/>
            </w:pPr>
            <w:r>
              <w:rPr>
                <w:sz w:val="20"/>
              </w:rPr>
              <w:t xml:space="preserve">%</w:t>
            </w:r>
          </w:p>
        </w:tc>
        <w:tc>
          <w:tcPr>
            <w:tcW w:w="1361" w:type="dxa"/>
          </w:tcPr>
          <w:p>
            <w:pPr>
              <w:pStyle w:val="0"/>
              <w:jc w:val="center"/>
            </w:pPr>
            <w:r>
              <w:rPr>
                <w:sz w:val="20"/>
              </w:rPr>
              <w:t xml:space="preserve">20</w:t>
            </w:r>
          </w:p>
        </w:tc>
        <w:tc>
          <w:tcPr>
            <w:tcW w:w="1304" w:type="dxa"/>
          </w:tcPr>
          <w:p>
            <w:pPr>
              <w:pStyle w:val="0"/>
              <w:jc w:val="center"/>
            </w:pPr>
            <w:r>
              <w:rPr>
                <w:sz w:val="20"/>
              </w:rPr>
              <w:t xml:space="preserve">27,5</w:t>
            </w:r>
          </w:p>
        </w:tc>
      </w:tr>
      <w:tr>
        <w:tc>
          <w:tcPr>
            <w:tcW w:w="929" w:type="dxa"/>
          </w:tcPr>
          <w:p>
            <w:pPr>
              <w:pStyle w:val="0"/>
              <w:jc w:val="center"/>
            </w:pPr>
            <w:r>
              <w:rPr>
                <w:sz w:val="20"/>
              </w:rPr>
              <w:t xml:space="preserve">43</w:t>
            </w:r>
          </w:p>
        </w:tc>
        <w:tc>
          <w:tcPr>
            <w:tcW w:w="4082" w:type="dxa"/>
          </w:tcPr>
          <w:p>
            <w:pPr>
              <w:pStyle w:val="0"/>
            </w:pPr>
            <w:r>
              <w:rPr>
                <w:sz w:val="20"/>
              </w:rPr>
              <w:t xml:space="preserve">Общий объем научно-исследовательских и опытно-конструкторских работ (НИОКР), проведенных организациями высшего образования</w:t>
            </w:r>
          </w:p>
        </w:tc>
        <w:tc>
          <w:tcPr>
            <w:tcW w:w="1361" w:type="dxa"/>
          </w:tcPr>
          <w:p>
            <w:pPr>
              <w:pStyle w:val="0"/>
              <w:jc w:val="center"/>
            </w:pPr>
            <w:r>
              <w:rPr>
                <w:sz w:val="20"/>
              </w:rPr>
              <w:t xml:space="preserve">млн. рублей</w:t>
            </w:r>
          </w:p>
        </w:tc>
        <w:tc>
          <w:tcPr>
            <w:tcW w:w="1361" w:type="dxa"/>
          </w:tcPr>
          <w:p>
            <w:pPr>
              <w:pStyle w:val="0"/>
              <w:jc w:val="center"/>
            </w:pPr>
            <w:r>
              <w:rPr>
                <w:sz w:val="20"/>
              </w:rPr>
              <w:t xml:space="preserve">400</w:t>
            </w:r>
          </w:p>
        </w:tc>
        <w:tc>
          <w:tcPr>
            <w:tcW w:w="1304" w:type="dxa"/>
          </w:tcPr>
          <w:p>
            <w:pPr>
              <w:pStyle w:val="0"/>
              <w:jc w:val="center"/>
            </w:pPr>
            <w:r>
              <w:rPr>
                <w:sz w:val="20"/>
              </w:rPr>
              <w:t xml:space="preserve">530</w:t>
            </w:r>
          </w:p>
        </w:tc>
      </w:tr>
      <w:tr>
        <w:tc>
          <w:tcPr>
            <w:tcW w:w="929" w:type="dxa"/>
          </w:tcPr>
          <w:p>
            <w:pPr>
              <w:pStyle w:val="0"/>
              <w:jc w:val="center"/>
            </w:pPr>
            <w:r>
              <w:rPr>
                <w:sz w:val="20"/>
              </w:rPr>
              <w:t xml:space="preserve">44</w:t>
            </w:r>
          </w:p>
        </w:tc>
        <w:tc>
          <w:tcPr>
            <w:tcW w:w="4082" w:type="dxa"/>
          </w:tcPr>
          <w:p>
            <w:pPr>
              <w:pStyle w:val="0"/>
            </w:pPr>
            <w:r>
              <w:rPr>
                <w:sz w:val="20"/>
              </w:rPr>
              <w:t xml:space="preserve">Уровень инновационной активности организаций</w:t>
            </w:r>
          </w:p>
        </w:tc>
        <w:tc>
          <w:tcPr>
            <w:tcW w:w="1361" w:type="dxa"/>
          </w:tcPr>
          <w:p>
            <w:pPr>
              <w:pStyle w:val="0"/>
              <w:jc w:val="center"/>
            </w:pPr>
            <w:r>
              <w:rPr>
                <w:sz w:val="20"/>
              </w:rPr>
              <w:t xml:space="preserve">%</w:t>
            </w:r>
          </w:p>
        </w:tc>
        <w:tc>
          <w:tcPr>
            <w:tcW w:w="1361" w:type="dxa"/>
          </w:tcPr>
          <w:p>
            <w:pPr>
              <w:pStyle w:val="0"/>
              <w:jc w:val="center"/>
            </w:pPr>
            <w:r>
              <w:rPr>
                <w:sz w:val="20"/>
              </w:rPr>
              <w:t xml:space="preserve">13,9</w:t>
            </w:r>
          </w:p>
        </w:tc>
        <w:tc>
          <w:tcPr>
            <w:tcW w:w="1304" w:type="dxa"/>
          </w:tcPr>
          <w:p>
            <w:pPr>
              <w:pStyle w:val="0"/>
              <w:jc w:val="center"/>
            </w:pPr>
            <w:r>
              <w:rPr>
                <w:sz w:val="20"/>
              </w:rPr>
              <w:t xml:space="preserve">21,9</w:t>
            </w:r>
          </w:p>
        </w:tc>
      </w:tr>
      <w:tr>
        <w:tc>
          <w:tcPr>
            <w:tcW w:w="929" w:type="dxa"/>
          </w:tcPr>
          <w:p>
            <w:pPr>
              <w:pStyle w:val="0"/>
              <w:jc w:val="center"/>
            </w:pPr>
            <w:r>
              <w:rPr>
                <w:sz w:val="20"/>
              </w:rPr>
              <w:t xml:space="preserve">45</w:t>
            </w:r>
          </w:p>
        </w:tc>
        <w:tc>
          <w:tcPr>
            <w:tcW w:w="4082" w:type="dxa"/>
          </w:tcPr>
          <w:p>
            <w:pPr>
              <w:pStyle w:val="0"/>
            </w:pPr>
            <w:r>
              <w:rPr>
                <w:sz w:val="20"/>
              </w:rPr>
              <w:t xml:space="preserve">Количество благоустроенных общественных территорий</w:t>
            </w:r>
          </w:p>
        </w:tc>
        <w:tc>
          <w:tcPr>
            <w:tcW w:w="1361" w:type="dxa"/>
          </w:tcPr>
          <w:p>
            <w:pPr>
              <w:pStyle w:val="0"/>
              <w:jc w:val="center"/>
            </w:pPr>
            <w:r>
              <w:rPr>
                <w:sz w:val="20"/>
              </w:rPr>
              <w:t xml:space="preserve">ед.</w:t>
            </w:r>
          </w:p>
        </w:tc>
        <w:tc>
          <w:tcPr>
            <w:tcW w:w="1361" w:type="dxa"/>
          </w:tcPr>
          <w:p>
            <w:pPr>
              <w:pStyle w:val="0"/>
              <w:jc w:val="center"/>
            </w:pPr>
            <w:r>
              <w:rPr>
                <w:sz w:val="20"/>
              </w:rPr>
              <w:t xml:space="preserve">60</w:t>
            </w:r>
          </w:p>
        </w:tc>
        <w:tc>
          <w:tcPr>
            <w:tcW w:w="1304" w:type="dxa"/>
          </w:tcPr>
          <w:p>
            <w:pPr>
              <w:pStyle w:val="0"/>
              <w:jc w:val="center"/>
            </w:pPr>
            <w:r>
              <w:rPr>
                <w:sz w:val="20"/>
              </w:rPr>
              <w:t xml:space="preserve">337</w:t>
            </w:r>
          </w:p>
        </w:tc>
      </w:tr>
      <w:tr>
        <w:tc>
          <w:tcPr>
            <w:tcW w:w="929" w:type="dxa"/>
          </w:tcPr>
          <w:p>
            <w:pPr>
              <w:pStyle w:val="0"/>
              <w:jc w:val="center"/>
            </w:pPr>
            <w:r>
              <w:rPr>
                <w:sz w:val="20"/>
              </w:rPr>
              <w:t xml:space="preserve">46</w:t>
            </w:r>
          </w:p>
        </w:tc>
        <w:tc>
          <w:tcPr>
            <w:tcW w:w="4082" w:type="dxa"/>
          </w:tcPr>
          <w:p>
            <w:pPr>
              <w:pStyle w:val="0"/>
            </w:pPr>
            <w:r>
              <w:rPr>
                <w:sz w:val="20"/>
              </w:rPr>
              <w:t xml:space="preserve">Доля граждан Тульской области, положительно оценивающих отношения между представителями различных национальностей в месте своего проживания</w:t>
            </w:r>
          </w:p>
        </w:tc>
        <w:tc>
          <w:tcPr>
            <w:tcW w:w="1361" w:type="dxa"/>
          </w:tcPr>
          <w:p>
            <w:pPr>
              <w:pStyle w:val="0"/>
              <w:jc w:val="center"/>
            </w:pPr>
            <w:r>
              <w:rPr>
                <w:sz w:val="20"/>
              </w:rPr>
              <w:t xml:space="preserve">%</w:t>
            </w:r>
          </w:p>
        </w:tc>
        <w:tc>
          <w:tcPr>
            <w:tcW w:w="1361" w:type="dxa"/>
          </w:tcPr>
          <w:p>
            <w:pPr>
              <w:pStyle w:val="0"/>
              <w:jc w:val="center"/>
            </w:pPr>
            <w:r>
              <w:rPr>
                <w:sz w:val="20"/>
              </w:rPr>
              <w:t xml:space="preserve">76,9</w:t>
            </w:r>
          </w:p>
        </w:tc>
        <w:tc>
          <w:tcPr>
            <w:tcW w:w="1304" w:type="dxa"/>
          </w:tcPr>
          <w:p>
            <w:pPr>
              <w:pStyle w:val="0"/>
              <w:jc w:val="center"/>
            </w:pPr>
            <w:r>
              <w:rPr>
                <w:sz w:val="20"/>
              </w:rPr>
              <w:t xml:space="preserve">79</w:t>
            </w:r>
          </w:p>
        </w:tc>
      </w:tr>
      <w:tr>
        <w:tc>
          <w:tcPr>
            <w:tcW w:w="929" w:type="dxa"/>
          </w:tcPr>
          <w:p>
            <w:pPr>
              <w:pStyle w:val="0"/>
              <w:jc w:val="center"/>
            </w:pPr>
            <w:r>
              <w:rPr>
                <w:sz w:val="20"/>
              </w:rPr>
              <w:t xml:space="preserve">47</w:t>
            </w:r>
          </w:p>
        </w:tc>
        <w:tc>
          <w:tcPr>
            <w:tcW w:w="4082" w:type="dxa"/>
          </w:tcPr>
          <w:p>
            <w:pPr>
              <w:pStyle w:val="0"/>
            </w:pPr>
            <w:r>
              <w:rPr>
                <w:sz w:val="20"/>
              </w:rPr>
              <w:t xml:space="preserve">Объем выпуска продукции промышленного производства</w:t>
            </w:r>
          </w:p>
        </w:tc>
        <w:tc>
          <w:tcPr>
            <w:tcW w:w="1361" w:type="dxa"/>
          </w:tcPr>
          <w:p>
            <w:pPr>
              <w:pStyle w:val="0"/>
              <w:jc w:val="center"/>
            </w:pPr>
            <w:r>
              <w:rPr>
                <w:sz w:val="20"/>
              </w:rPr>
              <w:t xml:space="preserve">млрд. рублей</w:t>
            </w:r>
          </w:p>
        </w:tc>
        <w:tc>
          <w:tcPr>
            <w:tcW w:w="1361" w:type="dxa"/>
          </w:tcPr>
          <w:p>
            <w:pPr>
              <w:pStyle w:val="0"/>
              <w:jc w:val="center"/>
            </w:pPr>
            <w:r>
              <w:rPr>
                <w:sz w:val="20"/>
              </w:rPr>
              <w:t xml:space="preserve">1200</w:t>
            </w:r>
          </w:p>
        </w:tc>
        <w:tc>
          <w:tcPr>
            <w:tcW w:w="1304" w:type="dxa"/>
          </w:tcPr>
          <w:p>
            <w:pPr>
              <w:pStyle w:val="0"/>
              <w:jc w:val="center"/>
            </w:pPr>
            <w:r>
              <w:rPr>
                <w:sz w:val="20"/>
              </w:rPr>
              <w:t xml:space="preserve">1550</w:t>
            </w:r>
          </w:p>
        </w:tc>
      </w:tr>
      <w:tr>
        <w:tc>
          <w:tcPr>
            <w:tcW w:w="929" w:type="dxa"/>
          </w:tcPr>
          <w:p>
            <w:pPr>
              <w:pStyle w:val="0"/>
              <w:jc w:val="center"/>
            </w:pPr>
            <w:r>
              <w:rPr>
                <w:sz w:val="20"/>
              </w:rPr>
              <w:t xml:space="preserve">48</w:t>
            </w:r>
          </w:p>
        </w:tc>
        <w:tc>
          <w:tcPr>
            <w:tcW w:w="4082" w:type="dxa"/>
          </w:tcPr>
          <w:p>
            <w:pPr>
              <w:pStyle w:val="0"/>
            </w:pPr>
            <w:r>
              <w:rPr>
                <w:sz w:val="20"/>
              </w:rPr>
              <w:t xml:space="preserve">Объем производства продукции сельского хозяйства</w:t>
            </w:r>
          </w:p>
        </w:tc>
        <w:tc>
          <w:tcPr>
            <w:tcW w:w="1361" w:type="dxa"/>
          </w:tcPr>
          <w:p>
            <w:pPr>
              <w:pStyle w:val="0"/>
              <w:jc w:val="center"/>
            </w:pPr>
            <w:r>
              <w:rPr>
                <w:sz w:val="20"/>
              </w:rPr>
              <w:t xml:space="preserve">млрд. рублей</w:t>
            </w:r>
          </w:p>
        </w:tc>
        <w:tc>
          <w:tcPr>
            <w:tcW w:w="1361" w:type="dxa"/>
          </w:tcPr>
          <w:p>
            <w:pPr>
              <w:pStyle w:val="0"/>
              <w:jc w:val="center"/>
            </w:pPr>
            <w:r>
              <w:rPr>
                <w:sz w:val="20"/>
              </w:rPr>
              <w:t xml:space="preserve">106,1</w:t>
            </w:r>
          </w:p>
        </w:tc>
        <w:tc>
          <w:tcPr>
            <w:tcW w:w="1304" w:type="dxa"/>
          </w:tcPr>
          <w:p>
            <w:pPr>
              <w:pStyle w:val="0"/>
              <w:jc w:val="center"/>
            </w:pPr>
            <w:r>
              <w:rPr>
                <w:sz w:val="20"/>
              </w:rPr>
              <w:t xml:space="preserve">126</w:t>
            </w:r>
          </w:p>
        </w:tc>
      </w:tr>
      <w:tr>
        <w:tc>
          <w:tcPr>
            <w:tcW w:w="929" w:type="dxa"/>
          </w:tcPr>
          <w:p>
            <w:pPr>
              <w:pStyle w:val="0"/>
              <w:jc w:val="center"/>
            </w:pPr>
            <w:r>
              <w:rPr>
                <w:sz w:val="20"/>
              </w:rPr>
              <w:t xml:space="preserve">49</w:t>
            </w:r>
          </w:p>
        </w:tc>
        <w:tc>
          <w:tcPr>
            <w:tcW w:w="4082" w:type="dxa"/>
          </w:tcPr>
          <w:p>
            <w:pPr>
              <w:pStyle w:val="0"/>
            </w:pPr>
            <w:r>
              <w:rPr>
                <w:sz w:val="20"/>
              </w:rPr>
              <w:t xml:space="preserve">Качество окружающей среды в Тульской области</w:t>
            </w:r>
          </w:p>
        </w:tc>
        <w:tc>
          <w:tcPr>
            <w:tcW w:w="1361" w:type="dxa"/>
          </w:tcPr>
          <w:p>
            <w:pPr>
              <w:pStyle w:val="0"/>
              <w:jc w:val="center"/>
            </w:pPr>
            <w:r>
              <w:rPr>
                <w:sz w:val="20"/>
              </w:rPr>
              <w:t xml:space="preserve">%</w:t>
            </w:r>
          </w:p>
        </w:tc>
        <w:tc>
          <w:tcPr>
            <w:tcW w:w="1361" w:type="dxa"/>
          </w:tcPr>
          <w:p>
            <w:pPr>
              <w:pStyle w:val="0"/>
              <w:jc w:val="center"/>
            </w:pPr>
            <w:r>
              <w:rPr>
                <w:sz w:val="20"/>
              </w:rPr>
              <w:t xml:space="preserve">104,36</w:t>
            </w:r>
          </w:p>
        </w:tc>
        <w:tc>
          <w:tcPr>
            <w:tcW w:w="1304" w:type="dxa"/>
          </w:tcPr>
          <w:p>
            <w:pPr>
              <w:pStyle w:val="0"/>
              <w:jc w:val="center"/>
            </w:pPr>
            <w:r>
              <w:rPr>
                <w:sz w:val="20"/>
              </w:rPr>
              <w:t xml:space="preserve">104,36</w:t>
            </w:r>
          </w:p>
        </w:tc>
      </w:tr>
      <w:tr>
        <w:tc>
          <w:tcPr>
            <w:tcW w:w="929" w:type="dxa"/>
          </w:tcPr>
          <w:p>
            <w:pPr>
              <w:pStyle w:val="0"/>
              <w:jc w:val="center"/>
            </w:pPr>
            <w:r>
              <w:rPr>
                <w:sz w:val="20"/>
              </w:rPr>
              <w:t xml:space="preserve">50</w:t>
            </w:r>
          </w:p>
        </w:tc>
        <w:tc>
          <w:tcPr>
            <w:tcW w:w="4082" w:type="dxa"/>
          </w:tcPr>
          <w:p>
            <w:pPr>
              <w:pStyle w:val="0"/>
            </w:pPr>
            <w:r>
              <w:rPr>
                <w:sz w:val="20"/>
              </w:rPr>
              <w:t xml:space="preserve">Общая площадь жилых помещений, приходящаяся в среднем на одного жителя</w:t>
            </w:r>
          </w:p>
        </w:tc>
        <w:tc>
          <w:tcPr>
            <w:tcW w:w="1361" w:type="dxa"/>
          </w:tcPr>
          <w:p>
            <w:pPr>
              <w:pStyle w:val="0"/>
              <w:jc w:val="center"/>
            </w:pPr>
            <w:r>
              <w:rPr>
                <w:sz w:val="20"/>
              </w:rPr>
              <w:t xml:space="preserve">кв. м на человека</w:t>
            </w:r>
          </w:p>
        </w:tc>
        <w:tc>
          <w:tcPr>
            <w:tcW w:w="1361" w:type="dxa"/>
          </w:tcPr>
          <w:p>
            <w:pPr>
              <w:pStyle w:val="0"/>
              <w:jc w:val="center"/>
            </w:pPr>
            <w:r>
              <w:rPr>
                <w:sz w:val="20"/>
              </w:rPr>
              <w:t xml:space="preserve">33,4</w:t>
            </w:r>
          </w:p>
        </w:tc>
        <w:tc>
          <w:tcPr>
            <w:tcW w:w="1304" w:type="dxa"/>
          </w:tcPr>
          <w:p>
            <w:pPr>
              <w:pStyle w:val="0"/>
              <w:jc w:val="center"/>
            </w:pPr>
            <w:r>
              <w:rPr>
                <w:sz w:val="20"/>
              </w:rPr>
              <w:t xml:space="preserve">35,4</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3</w:t>
      </w:r>
    </w:p>
    <w:p>
      <w:pPr>
        <w:pStyle w:val="0"/>
        <w:jc w:val="right"/>
      </w:pPr>
      <w:r>
        <w:rPr>
          <w:sz w:val="20"/>
        </w:rPr>
        <w:t xml:space="preserve">к стратегии социально-экономического</w:t>
      </w:r>
    </w:p>
    <w:p>
      <w:pPr>
        <w:pStyle w:val="0"/>
        <w:jc w:val="right"/>
      </w:pPr>
      <w:r>
        <w:rPr>
          <w:sz w:val="20"/>
        </w:rPr>
        <w:t xml:space="preserve">развития Тульской области до 2030 года</w:t>
      </w:r>
    </w:p>
    <w:p>
      <w:pPr>
        <w:pStyle w:val="0"/>
        <w:jc w:val="right"/>
      </w:pPr>
      <w:r>
        <w:rPr>
          <w:sz w:val="20"/>
        </w:rPr>
        <w:t xml:space="preserve">с перспективой до 2036 года</w:t>
      </w:r>
    </w:p>
    <w:p>
      <w:pPr>
        <w:pStyle w:val="0"/>
      </w:pPr>
      <w:r>
        <w:rPr>
          <w:sz w:val="20"/>
        </w:rPr>
      </w:r>
    </w:p>
    <w:bookmarkStart w:id="3041" w:name="P3041"/>
    <w:bookmarkEnd w:id="3041"/>
    <w:p>
      <w:pPr>
        <w:pStyle w:val="2"/>
        <w:jc w:val="center"/>
      </w:pPr>
      <w:r>
        <w:rPr>
          <w:sz w:val="20"/>
        </w:rPr>
        <w:t xml:space="preserve">ПРОГНОЗ</w:t>
      </w:r>
    </w:p>
    <w:p>
      <w:pPr>
        <w:pStyle w:val="2"/>
        <w:jc w:val="center"/>
      </w:pPr>
      <w:r>
        <w:rPr>
          <w:sz w:val="20"/>
        </w:rPr>
        <w:t xml:space="preserve">потребности отраслей экономики Тульской области</w:t>
      </w:r>
    </w:p>
    <w:p>
      <w:pPr>
        <w:pStyle w:val="2"/>
        <w:jc w:val="center"/>
      </w:pPr>
      <w:r>
        <w:rPr>
          <w:sz w:val="20"/>
        </w:rPr>
        <w:t xml:space="preserve">в специалистах различных профессионально-квалификационных</w:t>
      </w:r>
    </w:p>
    <w:p>
      <w:pPr>
        <w:pStyle w:val="2"/>
        <w:jc w:val="center"/>
      </w:pPr>
      <w:r>
        <w:rPr>
          <w:sz w:val="20"/>
        </w:rPr>
        <w:t xml:space="preserve">групп в 2026 - 2032 годы, тыс. человек</w:t>
      </w:r>
    </w:p>
    <w:p>
      <w:pPr>
        <w:pStyle w:val="0"/>
      </w:pPr>
      <w:r>
        <w:rPr>
          <w:sz w:val="20"/>
        </w:rPr>
      </w:r>
    </w:p>
    <w:p>
      <w:pPr>
        <w:pStyle w:val="2"/>
        <w:outlineLvl w:val="2"/>
        <w:jc w:val="center"/>
      </w:pPr>
      <w:r>
        <w:rPr>
          <w:sz w:val="20"/>
        </w:rPr>
        <w:t xml:space="preserve">Прогноз потребности отраслей экономики Тульской области</w:t>
      </w:r>
    </w:p>
    <w:p>
      <w:pPr>
        <w:pStyle w:val="2"/>
        <w:jc w:val="center"/>
      </w:pPr>
      <w:r>
        <w:rPr>
          <w:sz w:val="20"/>
        </w:rPr>
        <w:t xml:space="preserve">в специалистах различных профессионально-квалификационных</w:t>
      </w:r>
    </w:p>
    <w:p>
      <w:pPr>
        <w:pStyle w:val="2"/>
        <w:jc w:val="center"/>
      </w:pPr>
      <w:r>
        <w:rPr>
          <w:sz w:val="20"/>
        </w:rPr>
        <w:t xml:space="preserve">групп в 2026 году, тыс. человек</w:t>
      </w:r>
    </w:p>
    <w:p>
      <w:pPr>
        <w:pStyle w:val="0"/>
      </w:pPr>
      <w:r>
        <w:rPr>
          <w:sz w:val="20"/>
        </w:rPr>
      </w:r>
    </w:p>
    <w:p>
      <w:pPr>
        <w:pStyle w:val="0"/>
        <w:outlineLvl w:val="3"/>
        <w:jc w:val="right"/>
      </w:pPr>
      <w:r>
        <w:rPr>
          <w:sz w:val="20"/>
        </w:rPr>
        <w:t xml:space="preserve">Таблица 1</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624"/>
        <w:gridCol w:w="680"/>
        <w:gridCol w:w="737"/>
        <w:gridCol w:w="624"/>
        <w:gridCol w:w="737"/>
        <w:gridCol w:w="624"/>
        <w:gridCol w:w="794"/>
        <w:gridCol w:w="624"/>
        <w:gridCol w:w="797"/>
      </w:tblGrid>
      <w:tr>
        <w:tc>
          <w:tcPr>
            <w:tcW w:w="2778" w:type="dxa"/>
            <w:vMerge w:val="restart"/>
          </w:tcPr>
          <w:p>
            <w:pPr>
              <w:pStyle w:val="0"/>
              <w:jc w:val="center"/>
            </w:pPr>
            <w:r>
              <w:rPr>
                <w:sz w:val="20"/>
              </w:rPr>
              <w:t xml:space="preserve">Виды экономической деятельности</w:t>
            </w:r>
          </w:p>
        </w:tc>
        <w:tc>
          <w:tcPr>
            <w:gridSpan w:val="9"/>
            <w:tcW w:w="6241" w:type="dxa"/>
          </w:tcPr>
          <w:p>
            <w:pPr>
              <w:pStyle w:val="0"/>
              <w:jc w:val="center"/>
            </w:pPr>
            <w:r>
              <w:rPr>
                <w:sz w:val="20"/>
              </w:rPr>
              <w:t xml:space="preserve">Группы занятий &lt;*&gt;</w:t>
            </w:r>
          </w:p>
        </w:tc>
      </w:tr>
      <w:tr>
        <w:tc>
          <w:tcPr>
            <w:vMerge w:val="continue"/>
          </w:tcPr>
          <w:p/>
        </w:tc>
        <w:tc>
          <w:tcPr>
            <w:tcW w:w="624" w:type="dxa"/>
          </w:tcPr>
          <w:p>
            <w:pPr>
              <w:pStyle w:val="0"/>
              <w:jc w:val="center"/>
            </w:pPr>
            <w:r>
              <w:rPr>
                <w:sz w:val="20"/>
              </w:rPr>
              <w:t xml:space="preserve">1</w:t>
            </w:r>
          </w:p>
        </w:tc>
        <w:tc>
          <w:tcPr>
            <w:tcW w:w="680" w:type="dxa"/>
          </w:tcPr>
          <w:p>
            <w:pPr>
              <w:pStyle w:val="0"/>
              <w:jc w:val="center"/>
            </w:pPr>
            <w:r>
              <w:rPr>
                <w:sz w:val="20"/>
              </w:rPr>
              <w:t xml:space="preserve">2</w:t>
            </w:r>
          </w:p>
        </w:tc>
        <w:tc>
          <w:tcPr>
            <w:tcW w:w="737" w:type="dxa"/>
          </w:tcPr>
          <w:p>
            <w:pPr>
              <w:pStyle w:val="0"/>
              <w:jc w:val="center"/>
            </w:pPr>
            <w:r>
              <w:rPr>
                <w:sz w:val="20"/>
              </w:rPr>
              <w:t xml:space="preserve">3</w:t>
            </w:r>
          </w:p>
        </w:tc>
        <w:tc>
          <w:tcPr>
            <w:tcW w:w="624" w:type="dxa"/>
          </w:tcPr>
          <w:p>
            <w:pPr>
              <w:pStyle w:val="0"/>
              <w:jc w:val="center"/>
            </w:pPr>
            <w:r>
              <w:rPr>
                <w:sz w:val="20"/>
              </w:rPr>
              <w:t xml:space="preserve">4</w:t>
            </w:r>
          </w:p>
        </w:tc>
        <w:tc>
          <w:tcPr>
            <w:tcW w:w="737" w:type="dxa"/>
          </w:tcPr>
          <w:p>
            <w:pPr>
              <w:pStyle w:val="0"/>
              <w:jc w:val="center"/>
            </w:pPr>
            <w:r>
              <w:rPr>
                <w:sz w:val="20"/>
              </w:rPr>
              <w:t xml:space="preserve">5</w:t>
            </w:r>
          </w:p>
        </w:tc>
        <w:tc>
          <w:tcPr>
            <w:tcW w:w="624" w:type="dxa"/>
          </w:tcPr>
          <w:p>
            <w:pPr>
              <w:pStyle w:val="0"/>
              <w:jc w:val="center"/>
            </w:pPr>
            <w:r>
              <w:rPr>
                <w:sz w:val="20"/>
              </w:rPr>
              <w:t xml:space="preserve">6</w:t>
            </w:r>
          </w:p>
        </w:tc>
        <w:tc>
          <w:tcPr>
            <w:tcW w:w="794" w:type="dxa"/>
          </w:tcPr>
          <w:p>
            <w:pPr>
              <w:pStyle w:val="0"/>
              <w:jc w:val="center"/>
            </w:pPr>
            <w:r>
              <w:rPr>
                <w:sz w:val="20"/>
              </w:rPr>
              <w:t xml:space="preserve">7</w:t>
            </w:r>
          </w:p>
        </w:tc>
        <w:tc>
          <w:tcPr>
            <w:tcW w:w="624" w:type="dxa"/>
          </w:tcPr>
          <w:p>
            <w:pPr>
              <w:pStyle w:val="0"/>
              <w:jc w:val="center"/>
            </w:pPr>
            <w:r>
              <w:rPr>
                <w:sz w:val="20"/>
              </w:rPr>
              <w:t xml:space="preserve">8</w:t>
            </w:r>
          </w:p>
        </w:tc>
        <w:tc>
          <w:tcPr>
            <w:tcW w:w="797" w:type="dxa"/>
          </w:tcPr>
          <w:p>
            <w:pPr>
              <w:pStyle w:val="0"/>
              <w:jc w:val="center"/>
            </w:pPr>
            <w:r>
              <w:rPr>
                <w:sz w:val="20"/>
              </w:rPr>
              <w:t xml:space="preserve">9</w:t>
            </w:r>
          </w:p>
        </w:tc>
      </w:tr>
      <w:tr>
        <w:tc>
          <w:tcPr>
            <w:tcW w:w="2778" w:type="dxa"/>
          </w:tcPr>
          <w:p>
            <w:pPr>
              <w:pStyle w:val="0"/>
            </w:pPr>
            <w:r>
              <w:rPr>
                <w:sz w:val="20"/>
              </w:rPr>
              <w:t xml:space="preserve">Сельское, лесное хозяйство, охота, рыболовство и рыбоводство</w:t>
            </w:r>
          </w:p>
        </w:tc>
        <w:tc>
          <w:tcPr>
            <w:tcW w:w="624" w:type="dxa"/>
          </w:tcPr>
          <w:p>
            <w:pPr>
              <w:pStyle w:val="0"/>
              <w:jc w:val="center"/>
            </w:pPr>
            <w:r>
              <w:rPr>
                <w:sz w:val="20"/>
              </w:rPr>
              <w:t xml:space="preserve">3,0</w:t>
            </w:r>
          </w:p>
        </w:tc>
        <w:tc>
          <w:tcPr>
            <w:tcW w:w="680" w:type="dxa"/>
          </w:tcPr>
          <w:p>
            <w:pPr>
              <w:pStyle w:val="0"/>
              <w:jc w:val="center"/>
            </w:pPr>
            <w:r>
              <w:rPr>
                <w:sz w:val="20"/>
              </w:rPr>
              <w:t xml:space="preserve">4,1</w:t>
            </w:r>
          </w:p>
        </w:tc>
        <w:tc>
          <w:tcPr>
            <w:tcW w:w="737" w:type="dxa"/>
          </w:tcPr>
          <w:p>
            <w:pPr>
              <w:pStyle w:val="0"/>
              <w:jc w:val="center"/>
            </w:pPr>
            <w:r>
              <w:rPr>
                <w:sz w:val="20"/>
              </w:rPr>
              <w:t xml:space="preserve">2,0</w:t>
            </w:r>
          </w:p>
        </w:tc>
        <w:tc>
          <w:tcPr>
            <w:tcW w:w="624" w:type="dxa"/>
          </w:tcPr>
          <w:p>
            <w:pPr>
              <w:pStyle w:val="0"/>
              <w:jc w:val="center"/>
            </w:pPr>
            <w:r>
              <w:rPr>
                <w:sz w:val="20"/>
              </w:rPr>
              <w:t xml:space="preserve">1,5</w:t>
            </w:r>
          </w:p>
        </w:tc>
        <w:tc>
          <w:tcPr>
            <w:tcW w:w="737" w:type="dxa"/>
          </w:tcPr>
          <w:p>
            <w:pPr>
              <w:pStyle w:val="0"/>
              <w:jc w:val="center"/>
            </w:pPr>
            <w:r>
              <w:rPr>
                <w:sz w:val="20"/>
              </w:rPr>
              <w:t xml:space="preserve">2,0</w:t>
            </w:r>
          </w:p>
        </w:tc>
        <w:tc>
          <w:tcPr>
            <w:tcW w:w="624" w:type="dxa"/>
          </w:tcPr>
          <w:p>
            <w:pPr>
              <w:pStyle w:val="0"/>
              <w:jc w:val="center"/>
            </w:pPr>
            <w:r>
              <w:rPr>
                <w:sz w:val="20"/>
              </w:rPr>
              <w:t xml:space="preserve">6,7</w:t>
            </w:r>
          </w:p>
        </w:tc>
        <w:tc>
          <w:tcPr>
            <w:tcW w:w="794" w:type="dxa"/>
          </w:tcPr>
          <w:p>
            <w:pPr>
              <w:pStyle w:val="0"/>
              <w:jc w:val="center"/>
            </w:pPr>
            <w:r>
              <w:rPr>
                <w:sz w:val="20"/>
              </w:rPr>
              <w:t xml:space="preserve">3,5</w:t>
            </w:r>
          </w:p>
        </w:tc>
        <w:tc>
          <w:tcPr>
            <w:tcW w:w="624" w:type="dxa"/>
          </w:tcPr>
          <w:p>
            <w:pPr>
              <w:pStyle w:val="0"/>
              <w:jc w:val="center"/>
            </w:pPr>
            <w:r>
              <w:rPr>
                <w:sz w:val="20"/>
              </w:rPr>
              <w:t xml:space="preserve">10,5</w:t>
            </w:r>
          </w:p>
        </w:tc>
        <w:tc>
          <w:tcPr>
            <w:tcW w:w="797" w:type="dxa"/>
          </w:tcPr>
          <w:p>
            <w:pPr>
              <w:pStyle w:val="0"/>
              <w:jc w:val="center"/>
            </w:pPr>
            <w:r>
              <w:rPr>
                <w:sz w:val="20"/>
              </w:rPr>
              <w:t xml:space="preserve">6,7</w:t>
            </w:r>
          </w:p>
        </w:tc>
      </w:tr>
      <w:tr>
        <w:tc>
          <w:tcPr>
            <w:tcW w:w="2778" w:type="dxa"/>
          </w:tcPr>
          <w:p>
            <w:pPr>
              <w:pStyle w:val="0"/>
            </w:pPr>
            <w:r>
              <w:rPr>
                <w:sz w:val="20"/>
              </w:rPr>
              <w:t xml:space="preserve">Добыча полезных ископаемых</w:t>
            </w:r>
          </w:p>
        </w:tc>
        <w:tc>
          <w:tcPr>
            <w:tcW w:w="624" w:type="dxa"/>
          </w:tcPr>
          <w:p>
            <w:pPr>
              <w:pStyle w:val="0"/>
              <w:jc w:val="center"/>
            </w:pPr>
            <w:r>
              <w:rPr>
                <w:sz w:val="20"/>
              </w:rPr>
              <w:t xml:space="preserve">0,2</w:t>
            </w:r>
          </w:p>
        </w:tc>
        <w:tc>
          <w:tcPr>
            <w:tcW w:w="680" w:type="dxa"/>
          </w:tcPr>
          <w:p>
            <w:pPr>
              <w:pStyle w:val="0"/>
              <w:jc w:val="center"/>
            </w:pPr>
            <w:r>
              <w:rPr>
                <w:sz w:val="20"/>
              </w:rPr>
              <w:t xml:space="preserve">0,1</w:t>
            </w:r>
          </w:p>
        </w:tc>
        <w:tc>
          <w:tcPr>
            <w:tcW w:w="737" w:type="dxa"/>
          </w:tcPr>
          <w:p>
            <w:pPr>
              <w:pStyle w:val="0"/>
              <w:jc w:val="center"/>
            </w:pPr>
            <w:r>
              <w:rPr>
                <w:sz w:val="20"/>
              </w:rPr>
              <w:t xml:space="preserve">0,2</w:t>
            </w:r>
          </w:p>
        </w:tc>
        <w:tc>
          <w:tcPr>
            <w:tcW w:w="624" w:type="dxa"/>
          </w:tcPr>
          <w:p>
            <w:pPr>
              <w:pStyle w:val="0"/>
              <w:jc w:val="center"/>
            </w:pPr>
            <w:r>
              <w:rPr>
                <w:sz w:val="20"/>
              </w:rPr>
              <w:t xml:space="preserve">0,1</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1,0</w:t>
            </w:r>
          </w:p>
        </w:tc>
        <w:tc>
          <w:tcPr>
            <w:tcW w:w="797" w:type="dxa"/>
          </w:tcPr>
          <w:p>
            <w:pPr>
              <w:pStyle w:val="0"/>
              <w:jc w:val="center"/>
            </w:pPr>
            <w:r>
              <w:rPr>
                <w:sz w:val="20"/>
              </w:rPr>
              <w:t xml:space="preserve">0,2</w:t>
            </w:r>
          </w:p>
        </w:tc>
      </w:tr>
      <w:tr>
        <w:tc>
          <w:tcPr>
            <w:tcW w:w="2778" w:type="dxa"/>
          </w:tcPr>
          <w:p>
            <w:pPr>
              <w:pStyle w:val="0"/>
            </w:pPr>
            <w:r>
              <w:rPr>
                <w:sz w:val="20"/>
              </w:rPr>
              <w:t xml:space="preserve">Обрабатывающие производства</w:t>
            </w:r>
          </w:p>
        </w:tc>
        <w:tc>
          <w:tcPr>
            <w:tcW w:w="624" w:type="dxa"/>
          </w:tcPr>
          <w:p>
            <w:pPr>
              <w:pStyle w:val="0"/>
              <w:jc w:val="center"/>
            </w:pPr>
            <w:r>
              <w:rPr>
                <w:sz w:val="20"/>
              </w:rPr>
              <w:t xml:space="preserve">15,8</w:t>
            </w:r>
          </w:p>
        </w:tc>
        <w:tc>
          <w:tcPr>
            <w:tcW w:w="680" w:type="dxa"/>
          </w:tcPr>
          <w:p>
            <w:pPr>
              <w:pStyle w:val="0"/>
              <w:jc w:val="center"/>
            </w:pPr>
            <w:r>
              <w:rPr>
                <w:sz w:val="20"/>
              </w:rPr>
              <w:t xml:space="preserve">24,6</w:t>
            </w:r>
          </w:p>
        </w:tc>
        <w:tc>
          <w:tcPr>
            <w:tcW w:w="737" w:type="dxa"/>
          </w:tcPr>
          <w:p>
            <w:pPr>
              <w:pStyle w:val="0"/>
              <w:jc w:val="center"/>
            </w:pPr>
            <w:r>
              <w:rPr>
                <w:sz w:val="20"/>
              </w:rPr>
              <w:t xml:space="preserve">14,3</w:t>
            </w:r>
          </w:p>
        </w:tc>
        <w:tc>
          <w:tcPr>
            <w:tcW w:w="624" w:type="dxa"/>
          </w:tcPr>
          <w:p>
            <w:pPr>
              <w:pStyle w:val="0"/>
              <w:jc w:val="center"/>
            </w:pPr>
            <w:r>
              <w:rPr>
                <w:sz w:val="20"/>
              </w:rPr>
              <w:t xml:space="preserve">6,9</w:t>
            </w:r>
          </w:p>
        </w:tc>
        <w:tc>
          <w:tcPr>
            <w:tcW w:w="737" w:type="dxa"/>
          </w:tcPr>
          <w:p>
            <w:pPr>
              <w:pStyle w:val="0"/>
              <w:jc w:val="center"/>
            </w:pPr>
            <w:r>
              <w:rPr>
                <w:sz w:val="20"/>
              </w:rPr>
              <w:t xml:space="preserve">3,5</w:t>
            </w:r>
          </w:p>
        </w:tc>
        <w:tc>
          <w:tcPr>
            <w:tcW w:w="624" w:type="dxa"/>
          </w:tcPr>
          <w:p>
            <w:pPr>
              <w:pStyle w:val="0"/>
              <w:jc w:val="center"/>
            </w:pPr>
            <w:r>
              <w:rPr>
                <w:sz w:val="20"/>
              </w:rPr>
              <w:t xml:space="preserve">0,2</w:t>
            </w:r>
          </w:p>
        </w:tc>
        <w:tc>
          <w:tcPr>
            <w:tcW w:w="794" w:type="dxa"/>
          </w:tcPr>
          <w:p>
            <w:pPr>
              <w:pStyle w:val="0"/>
              <w:jc w:val="center"/>
            </w:pPr>
            <w:r>
              <w:rPr>
                <w:sz w:val="20"/>
              </w:rPr>
              <w:t xml:space="preserve">55,5</w:t>
            </w:r>
          </w:p>
        </w:tc>
        <w:tc>
          <w:tcPr>
            <w:tcW w:w="624" w:type="dxa"/>
          </w:tcPr>
          <w:p>
            <w:pPr>
              <w:pStyle w:val="0"/>
              <w:jc w:val="center"/>
            </w:pPr>
            <w:r>
              <w:rPr>
                <w:sz w:val="20"/>
              </w:rPr>
              <w:t xml:space="preserve">34,6</w:t>
            </w:r>
          </w:p>
        </w:tc>
        <w:tc>
          <w:tcPr>
            <w:tcW w:w="797" w:type="dxa"/>
          </w:tcPr>
          <w:p>
            <w:pPr>
              <w:pStyle w:val="0"/>
              <w:jc w:val="center"/>
            </w:pPr>
            <w:r>
              <w:rPr>
                <w:sz w:val="20"/>
              </w:rPr>
              <w:t xml:space="preserve">15,0</w:t>
            </w:r>
          </w:p>
        </w:tc>
      </w:tr>
      <w:tr>
        <w:tc>
          <w:tcPr>
            <w:tcW w:w="2778" w:type="dxa"/>
          </w:tcPr>
          <w:p>
            <w:pPr>
              <w:pStyle w:val="0"/>
            </w:pPr>
            <w:r>
              <w:rPr>
                <w:sz w:val="20"/>
              </w:rPr>
              <w:t xml:space="preserve">Обеспечение электроэнергией, газом и паром; кондиционирование воздуха</w:t>
            </w:r>
          </w:p>
        </w:tc>
        <w:tc>
          <w:tcPr>
            <w:tcW w:w="624" w:type="dxa"/>
          </w:tcPr>
          <w:p>
            <w:pPr>
              <w:pStyle w:val="0"/>
              <w:jc w:val="center"/>
            </w:pPr>
            <w:r>
              <w:rPr>
                <w:sz w:val="20"/>
              </w:rPr>
              <w:t xml:space="preserve">1,4</w:t>
            </w:r>
          </w:p>
        </w:tc>
        <w:tc>
          <w:tcPr>
            <w:tcW w:w="680" w:type="dxa"/>
          </w:tcPr>
          <w:p>
            <w:pPr>
              <w:pStyle w:val="0"/>
              <w:jc w:val="center"/>
            </w:pPr>
            <w:r>
              <w:rPr>
                <w:sz w:val="20"/>
              </w:rPr>
              <w:t xml:space="preserve">2,9</w:t>
            </w:r>
          </w:p>
        </w:tc>
        <w:tc>
          <w:tcPr>
            <w:tcW w:w="737" w:type="dxa"/>
          </w:tcPr>
          <w:p>
            <w:pPr>
              <w:pStyle w:val="0"/>
              <w:jc w:val="center"/>
            </w:pPr>
            <w:r>
              <w:rPr>
                <w:sz w:val="20"/>
              </w:rPr>
              <w:t xml:space="preserve">1,8</w:t>
            </w:r>
          </w:p>
        </w:tc>
        <w:tc>
          <w:tcPr>
            <w:tcW w:w="624" w:type="dxa"/>
          </w:tcPr>
          <w:p>
            <w:pPr>
              <w:pStyle w:val="0"/>
              <w:jc w:val="center"/>
            </w:pPr>
            <w:r>
              <w:rPr>
                <w:sz w:val="20"/>
              </w:rPr>
              <w:t xml:space="preserve">0,6</w:t>
            </w:r>
          </w:p>
        </w:tc>
        <w:tc>
          <w:tcPr>
            <w:tcW w:w="737" w:type="dxa"/>
          </w:tcPr>
          <w:p>
            <w:pPr>
              <w:pStyle w:val="0"/>
              <w:jc w:val="center"/>
            </w:pPr>
            <w:r>
              <w:rPr>
                <w:sz w:val="20"/>
              </w:rPr>
              <w:t xml:space="preserve">0,2</w:t>
            </w:r>
          </w:p>
        </w:tc>
        <w:tc>
          <w:tcPr>
            <w:tcW w:w="624" w:type="dxa"/>
          </w:tcPr>
          <w:p>
            <w:pPr>
              <w:pStyle w:val="0"/>
              <w:jc w:val="center"/>
            </w:pPr>
            <w:r>
              <w:rPr>
                <w:sz w:val="20"/>
              </w:rPr>
              <w:t xml:space="preserve">0,0</w:t>
            </w:r>
          </w:p>
        </w:tc>
        <w:tc>
          <w:tcPr>
            <w:tcW w:w="794" w:type="dxa"/>
          </w:tcPr>
          <w:p>
            <w:pPr>
              <w:pStyle w:val="0"/>
              <w:jc w:val="center"/>
            </w:pPr>
            <w:r>
              <w:rPr>
                <w:sz w:val="20"/>
              </w:rPr>
              <w:t xml:space="preserve">5,6</w:t>
            </w:r>
          </w:p>
        </w:tc>
        <w:tc>
          <w:tcPr>
            <w:tcW w:w="624" w:type="dxa"/>
          </w:tcPr>
          <w:p>
            <w:pPr>
              <w:pStyle w:val="0"/>
              <w:jc w:val="center"/>
            </w:pPr>
            <w:r>
              <w:rPr>
                <w:sz w:val="20"/>
              </w:rPr>
              <w:t xml:space="preserve">4,1</w:t>
            </w:r>
          </w:p>
        </w:tc>
        <w:tc>
          <w:tcPr>
            <w:tcW w:w="797" w:type="dxa"/>
          </w:tcPr>
          <w:p>
            <w:pPr>
              <w:pStyle w:val="0"/>
              <w:jc w:val="center"/>
            </w:pPr>
            <w:r>
              <w:rPr>
                <w:sz w:val="20"/>
              </w:rPr>
              <w:t xml:space="preserve">0,3</w:t>
            </w:r>
          </w:p>
        </w:tc>
      </w:tr>
      <w:tr>
        <w:tc>
          <w:tcPr>
            <w:tcW w:w="2778" w:type="dxa"/>
          </w:tcPr>
          <w:p>
            <w:pPr>
              <w:pStyle w:val="0"/>
            </w:pPr>
            <w:r>
              <w:rPr>
                <w:sz w:val="20"/>
              </w:rPr>
              <w:t xml:space="preserve">Водоснабжение; водоотведение, организация сбора и утилизации отходов, деятельность по ликвидации загрязнений</w:t>
            </w:r>
          </w:p>
        </w:tc>
        <w:tc>
          <w:tcPr>
            <w:tcW w:w="624" w:type="dxa"/>
          </w:tcPr>
          <w:p>
            <w:pPr>
              <w:pStyle w:val="0"/>
              <w:jc w:val="center"/>
            </w:pPr>
            <w:r>
              <w:rPr>
                <w:sz w:val="20"/>
              </w:rPr>
              <w:t xml:space="preserve">0,7</w:t>
            </w:r>
          </w:p>
        </w:tc>
        <w:tc>
          <w:tcPr>
            <w:tcW w:w="680" w:type="dxa"/>
          </w:tcPr>
          <w:p>
            <w:pPr>
              <w:pStyle w:val="0"/>
              <w:jc w:val="center"/>
            </w:pPr>
            <w:r>
              <w:rPr>
                <w:sz w:val="20"/>
              </w:rPr>
              <w:t xml:space="preserve">0,8</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1,9</w:t>
            </w:r>
          </w:p>
        </w:tc>
        <w:tc>
          <w:tcPr>
            <w:tcW w:w="624" w:type="dxa"/>
          </w:tcPr>
          <w:p>
            <w:pPr>
              <w:pStyle w:val="0"/>
              <w:jc w:val="center"/>
            </w:pPr>
            <w:r>
              <w:rPr>
                <w:sz w:val="20"/>
              </w:rPr>
              <w:t xml:space="preserve">1,9</w:t>
            </w:r>
          </w:p>
        </w:tc>
        <w:tc>
          <w:tcPr>
            <w:tcW w:w="797" w:type="dxa"/>
          </w:tcPr>
          <w:p>
            <w:pPr>
              <w:pStyle w:val="0"/>
              <w:jc w:val="center"/>
            </w:pPr>
            <w:r>
              <w:rPr>
                <w:sz w:val="20"/>
              </w:rPr>
              <w:t xml:space="preserve">0,4</w:t>
            </w:r>
          </w:p>
        </w:tc>
      </w:tr>
      <w:tr>
        <w:tc>
          <w:tcPr>
            <w:tcW w:w="2778" w:type="dxa"/>
          </w:tcPr>
          <w:p>
            <w:pPr>
              <w:pStyle w:val="0"/>
            </w:pPr>
            <w:r>
              <w:rPr>
                <w:sz w:val="20"/>
              </w:rPr>
              <w:t xml:space="preserve">Строительство</w:t>
            </w:r>
          </w:p>
        </w:tc>
        <w:tc>
          <w:tcPr>
            <w:tcW w:w="624" w:type="dxa"/>
          </w:tcPr>
          <w:p>
            <w:pPr>
              <w:pStyle w:val="0"/>
              <w:jc w:val="center"/>
            </w:pPr>
            <w:r>
              <w:rPr>
                <w:sz w:val="20"/>
              </w:rPr>
              <w:t xml:space="preserve">9,1</w:t>
            </w:r>
          </w:p>
        </w:tc>
        <w:tc>
          <w:tcPr>
            <w:tcW w:w="680" w:type="dxa"/>
          </w:tcPr>
          <w:p>
            <w:pPr>
              <w:pStyle w:val="0"/>
              <w:jc w:val="center"/>
            </w:pPr>
            <w:r>
              <w:rPr>
                <w:sz w:val="20"/>
              </w:rPr>
              <w:t xml:space="preserve">10,4</w:t>
            </w:r>
          </w:p>
        </w:tc>
        <w:tc>
          <w:tcPr>
            <w:tcW w:w="737" w:type="dxa"/>
          </w:tcPr>
          <w:p>
            <w:pPr>
              <w:pStyle w:val="0"/>
              <w:jc w:val="center"/>
            </w:pPr>
            <w:r>
              <w:rPr>
                <w:sz w:val="20"/>
              </w:rPr>
              <w:t xml:space="preserve">5,6</w:t>
            </w:r>
          </w:p>
        </w:tc>
        <w:tc>
          <w:tcPr>
            <w:tcW w:w="624" w:type="dxa"/>
          </w:tcPr>
          <w:p>
            <w:pPr>
              <w:pStyle w:val="0"/>
              <w:jc w:val="center"/>
            </w:pPr>
            <w:r>
              <w:rPr>
                <w:sz w:val="20"/>
              </w:rPr>
              <w:t xml:space="preserve">1,1</w:t>
            </w:r>
          </w:p>
        </w:tc>
        <w:tc>
          <w:tcPr>
            <w:tcW w:w="737" w:type="dxa"/>
          </w:tcPr>
          <w:p>
            <w:pPr>
              <w:pStyle w:val="0"/>
              <w:jc w:val="center"/>
            </w:pPr>
            <w:r>
              <w:rPr>
                <w:sz w:val="20"/>
              </w:rPr>
              <w:t xml:space="preserve">0,5</w:t>
            </w:r>
          </w:p>
        </w:tc>
        <w:tc>
          <w:tcPr>
            <w:tcW w:w="624" w:type="dxa"/>
          </w:tcPr>
          <w:p>
            <w:pPr>
              <w:pStyle w:val="0"/>
              <w:jc w:val="center"/>
            </w:pPr>
            <w:r>
              <w:rPr>
                <w:sz w:val="20"/>
              </w:rPr>
              <w:t xml:space="preserve">0,0</w:t>
            </w:r>
          </w:p>
        </w:tc>
        <w:tc>
          <w:tcPr>
            <w:tcW w:w="794" w:type="dxa"/>
          </w:tcPr>
          <w:p>
            <w:pPr>
              <w:pStyle w:val="0"/>
              <w:jc w:val="center"/>
            </w:pPr>
            <w:r>
              <w:rPr>
                <w:sz w:val="20"/>
              </w:rPr>
              <w:t xml:space="preserve">18,7</w:t>
            </w:r>
          </w:p>
        </w:tc>
        <w:tc>
          <w:tcPr>
            <w:tcW w:w="624" w:type="dxa"/>
          </w:tcPr>
          <w:p>
            <w:pPr>
              <w:pStyle w:val="0"/>
              <w:jc w:val="center"/>
            </w:pPr>
            <w:r>
              <w:rPr>
                <w:sz w:val="20"/>
              </w:rPr>
              <w:t xml:space="preserve">10,0</w:t>
            </w:r>
          </w:p>
        </w:tc>
        <w:tc>
          <w:tcPr>
            <w:tcW w:w="797" w:type="dxa"/>
          </w:tcPr>
          <w:p>
            <w:pPr>
              <w:pStyle w:val="0"/>
              <w:jc w:val="center"/>
            </w:pPr>
            <w:r>
              <w:rPr>
                <w:sz w:val="20"/>
              </w:rPr>
              <w:t xml:space="preserve">4,2</w:t>
            </w:r>
          </w:p>
        </w:tc>
      </w:tr>
      <w:tr>
        <w:tc>
          <w:tcPr>
            <w:tcW w:w="2778" w:type="dxa"/>
          </w:tcPr>
          <w:p>
            <w:pPr>
              <w:pStyle w:val="0"/>
            </w:pPr>
            <w:r>
              <w:rPr>
                <w:sz w:val="20"/>
              </w:rPr>
              <w:t xml:space="preserve">Торговля оптовая и розничная; ремонт автотранспортных средств и мотоциклов</w:t>
            </w:r>
          </w:p>
        </w:tc>
        <w:tc>
          <w:tcPr>
            <w:tcW w:w="624" w:type="dxa"/>
          </w:tcPr>
          <w:p>
            <w:pPr>
              <w:pStyle w:val="0"/>
              <w:jc w:val="center"/>
            </w:pPr>
            <w:r>
              <w:rPr>
                <w:sz w:val="20"/>
              </w:rPr>
              <w:t xml:space="preserve">17,0</w:t>
            </w:r>
          </w:p>
        </w:tc>
        <w:tc>
          <w:tcPr>
            <w:tcW w:w="680" w:type="dxa"/>
          </w:tcPr>
          <w:p>
            <w:pPr>
              <w:pStyle w:val="0"/>
              <w:jc w:val="center"/>
            </w:pPr>
            <w:r>
              <w:rPr>
                <w:sz w:val="20"/>
              </w:rPr>
              <w:t xml:space="preserve">12,4</w:t>
            </w:r>
          </w:p>
        </w:tc>
        <w:tc>
          <w:tcPr>
            <w:tcW w:w="737" w:type="dxa"/>
          </w:tcPr>
          <w:p>
            <w:pPr>
              <w:pStyle w:val="0"/>
              <w:jc w:val="center"/>
            </w:pPr>
            <w:r>
              <w:rPr>
                <w:sz w:val="20"/>
              </w:rPr>
              <w:t xml:space="preserve">15,7</w:t>
            </w:r>
          </w:p>
        </w:tc>
        <w:tc>
          <w:tcPr>
            <w:tcW w:w="624" w:type="dxa"/>
          </w:tcPr>
          <w:p>
            <w:pPr>
              <w:pStyle w:val="0"/>
              <w:jc w:val="center"/>
            </w:pPr>
            <w:r>
              <w:rPr>
                <w:sz w:val="20"/>
              </w:rPr>
              <w:t xml:space="preserve">3,1</w:t>
            </w:r>
          </w:p>
        </w:tc>
        <w:tc>
          <w:tcPr>
            <w:tcW w:w="737" w:type="dxa"/>
          </w:tcPr>
          <w:p>
            <w:pPr>
              <w:pStyle w:val="0"/>
              <w:jc w:val="center"/>
            </w:pPr>
            <w:r>
              <w:rPr>
                <w:sz w:val="20"/>
              </w:rPr>
              <w:t xml:space="preserve">52,1</w:t>
            </w:r>
          </w:p>
        </w:tc>
        <w:tc>
          <w:tcPr>
            <w:tcW w:w="624" w:type="dxa"/>
          </w:tcPr>
          <w:p>
            <w:pPr>
              <w:pStyle w:val="0"/>
              <w:jc w:val="center"/>
            </w:pPr>
            <w:r>
              <w:rPr>
                <w:sz w:val="20"/>
              </w:rPr>
              <w:t xml:space="preserve">0,1</w:t>
            </w:r>
          </w:p>
        </w:tc>
        <w:tc>
          <w:tcPr>
            <w:tcW w:w="794" w:type="dxa"/>
          </w:tcPr>
          <w:p>
            <w:pPr>
              <w:pStyle w:val="0"/>
              <w:jc w:val="center"/>
            </w:pPr>
            <w:r>
              <w:rPr>
                <w:sz w:val="20"/>
              </w:rPr>
              <w:t xml:space="preserve">9,6</w:t>
            </w:r>
          </w:p>
        </w:tc>
        <w:tc>
          <w:tcPr>
            <w:tcW w:w="624" w:type="dxa"/>
          </w:tcPr>
          <w:p>
            <w:pPr>
              <w:pStyle w:val="0"/>
              <w:jc w:val="center"/>
            </w:pPr>
            <w:r>
              <w:rPr>
                <w:sz w:val="20"/>
              </w:rPr>
              <w:t xml:space="preserve">7,3</w:t>
            </w:r>
          </w:p>
        </w:tc>
        <w:tc>
          <w:tcPr>
            <w:tcW w:w="797" w:type="dxa"/>
          </w:tcPr>
          <w:p>
            <w:pPr>
              <w:pStyle w:val="0"/>
              <w:jc w:val="center"/>
            </w:pPr>
            <w:r>
              <w:rPr>
                <w:sz w:val="20"/>
              </w:rPr>
              <w:t xml:space="preserve">9,8</w:t>
            </w:r>
          </w:p>
        </w:tc>
      </w:tr>
      <w:tr>
        <w:tc>
          <w:tcPr>
            <w:tcW w:w="2778" w:type="dxa"/>
          </w:tcPr>
          <w:p>
            <w:pPr>
              <w:pStyle w:val="0"/>
            </w:pPr>
            <w:r>
              <w:rPr>
                <w:sz w:val="20"/>
              </w:rPr>
              <w:t xml:space="preserve">Транспортировка и хранение</w:t>
            </w:r>
          </w:p>
        </w:tc>
        <w:tc>
          <w:tcPr>
            <w:tcW w:w="624" w:type="dxa"/>
          </w:tcPr>
          <w:p>
            <w:pPr>
              <w:pStyle w:val="0"/>
              <w:jc w:val="center"/>
            </w:pPr>
            <w:r>
              <w:rPr>
                <w:sz w:val="20"/>
              </w:rPr>
              <w:t xml:space="preserve">2,5</w:t>
            </w:r>
          </w:p>
        </w:tc>
        <w:tc>
          <w:tcPr>
            <w:tcW w:w="680" w:type="dxa"/>
          </w:tcPr>
          <w:p>
            <w:pPr>
              <w:pStyle w:val="0"/>
              <w:jc w:val="center"/>
            </w:pPr>
            <w:r>
              <w:rPr>
                <w:sz w:val="20"/>
              </w:rPr>
              <w:t xml:space="preserve">2,4</w:t>
            </w:r>
          </w:p>
        </w:tc>
        <w:tc>
          <w:tcPr>
            <w:tcW w:w="737" w:type="dxa"/>
          </w:tcPr>
          <w:p>
            <w:pPr>
              <w:pStyle w:val="0"/>
              <w:jc w:val="center"/>
            </w:pPr>
            <w:r>
              <w:rPr>
                <w:sz w:val="20"/>
              </w:rPr>
              <w:t xml:space="preserve">2,4</w:t>
            </w:r>
          </w:p>
        </w:tc>
        <w:tc>
          <w:tcPr>
            <w:tcW w:w="624" w:type="dxa"/>
          </w:tcPr>
          <w:p>
            <w:pPr>
              <w:pStyle w:val="0"/>
              <w:jc w:val="center"/>
            </w:pPr>
            <w:r>
              <w:rPr>
                <w:sz w:val="20"/>
              </w:rPr>
              <w:t xml:space="preserve">18,6</w:t>
            </w:r>
          </w:p>
        </w:tc>
        <w:tc>
          <w:tcPr>
            <w:tcW w:w="737" w:type="dxa"/>
          </w:tcPr>
          <w:p>
            <w:pPr>
              <w:pStyle w:val="0"/>
              <w:jc w:val="center"/>
            </w:pPr>
            <w:r>
              <w:rPr>
                <w:sz w:val="20"/>
              </w:rPr>
              <w:t xml:space="preserve">3,8</w:t>
            </w:r>
          </w:p>
        </w:tc>
        <w:tc>
          <w:tcPr>
            <w:tcW w:w="624" w:type="dxa"/>
          </w:tcPr>
          <w:p>
            <w:pPr>
              <w:pStyle w:val="0"/>
              <w:jc w:val="center"/>
            </w:pPr>
            <w:r>
              <w:rPr>
                <w:sz w:val="20"/>
              </w:rPr>
              <w:t xml:space="preserve">0,0</w:t>
            </w:r>
          </w:p>
        </w:tc>
        <w:tc>
          <w:tcPr>
            <w:tcW w:w="794" w:type="dxa"/>
          </w:tcPr>
          <w:p>
            <w:pPr>
              <w:pStyle w:val="0"/>
              <w:jc w:val="center"/>
            </w:pPr>
            <w:r>
              <w:rPr>
                <w:sz w:val="20"/>
              </w:rPr>
              <w:t xml:space="preserve">5,7</w:t>
            </w:r>
          </w:p>
        </w:tc>
        <w:tc>
          <w:tcPr>
            <w:tcW w:w="624" w:type="dxa"/>
          </w:tcPr>
          <w:p>
            <w:pPr>
              <w:pStyle w:val="0"/>
              <w:jc w:val="center"/>
            </w:pPr>
            <w:r>
              <w:rPr>
                <w:sz w:val="20"/>
              </w:rPr>
              <w:t xml:space="preserve">17,1</w:t>
            </w:r>
          </w:p>
        </w:tc>
        <w:tc>
          <w:tcPr>
            <w:tcW w:w="797" w:type="dxa"/>
          </w:tcPr>
          <w:p>
            <w:pPr>
              <w:pStyle w:val="0"/>
              <w:jc w:val="center"/>
            </w:pPr>
            <w:r>
              <w:rPr>
                <w:sz w:val="20"/>
              </w:rPr>
              <w:t xml:space="preserve">2,9</w:t>
            </w:r>
          </w:p>
        </w:tc>
      </w:tr>
      <w:tr>
        <w:tc>
          <w:tcPr>
            <w:tcW w:w="2778" w:type="dxa"/>
          </w:tcPr>
          <w:p>
            <w:pPr>
              <w:pStyle w:val="0"/>
            </w:pPr>
            <w:r>
              <w:rPr>
                <w:sz w:val="20"/>
              </w:rPr>
              <w:t xml:space="preserve">Деятельность гостиниц и предприятий общественного питания</w:t>
            </w:r>
          </w:p>
        </w:tc>
        <w:tc>
          <w:tcPr>
            <w:tcW w:w="624" w:type="dxa"/>
          </w:tcPr>
          <w:p>
            <w:pPr>
              <w:pStyle w:val="0"/>
              <w:jc w:val="center"/>
            </w:pPr>
            <w:r>
              <w:rPr>
                <w:sz w:val="20"/>
              </w:rPr>
              <w:t xml:space="preserve">1,8</w:t>
            </w:r>
          </w:p>
        </w:tc>
        <w:tc>
          <w:tcPr>
            <w:tcW w:w="680" w:type="dxa"/>
          </w:tcPr>
          <w:p>
            <w:pPr>
              <w:pStyle w:val="0"/>
              <w:jc w:val="center"/>
            </w:pPr>
            <w:r>
              <w:rPr>
                <w:sz w:val="20"/>
              </w:rPr>
              <w:t xml:space="preserve">1,4</w:t>
            </w:r>
          </w:p>
        </w:tc>
        <w:tc>
          <w:tcPr>
            <w:tcW w:w="737" w:type="dxa"/>
          </w:tcPr>
          <w:p>
            <w:pPr>
              <w:pStyle w:val="0"/>
              <w:jc w:val="center"/>
            </w:pPr>
            <w:r>
              <w:rPr>
                <w:sz w:val="20"/>
              </w:rPr>
              <w:t xml:space="preserve">2,9</w:t>
            </w:r>
          </w:p>
        </w:tc>
        <w:tc>
          <w:tcPr>
            <w:tcW w:w="624" w:type="dxa"/>
          </w:tcPr>
          <w:p>
            <w:pPr>
              <w:pStyle w:val="0"/>
              <w:jc w:val="center"/>
            </w:pPr>
            <w:r>
              <w:rPr>
                <w:sz w:val="20"/>
              </w:rPr>
              <w:t xml:space="preserve">0,3</w:t>
            </w:r>
          </w:p>
        </w:tc>
        <w:tc>
          <w:tcPr>
            <w:tcW w:w="737" w:type="dxa"/>
          </w:tcPr>
          <w:p>
            <w:pPr>
              <w:pStyle w:val="0"/>
              <w:jc w:val="center"/>
            </w:pPr>
            <w:r>
              <w:rPr>
                <w:sz w:val="20"/>
              </w:rPr>
              <w:t xml:space="preserve">8,4</w:t>
            </w:r>
          </w:p>
        </w:tc>
        <w:tc>
          <w:tcPr>
            <w:tcW w:w="624" w:type="dxa"/>
          </w:tcPr>
          <w:p>
            <w:pPr>
              <w:pStyle w:val="0"/>
              <w:jc w:val="center"/>
            </w:pPr>
            <w:r>
              <w:rPr>
                <w:sz w:val="20"/>
              </w:rPr>
              <w:t xml:space="preserve">0,1</w:t>
            </w:r>
          </w:p>
        </w:tc>
        <w:tc>
          <w:tcPr>
            <w:tcW w:w="794" w:type="dxa"/>
          </w:tcPr>
          <w:p>
            <w:pPr>
              <w:pStyle w:val="0"/>
              <w:jc w:val="center"/>
            </w:pPr>
            <w:r>
              <w:rPr>
                <w:sz w:val="20"/>
              </w:rPr>
              <w:t xml:space="preserve">1,0</w:t>
            </w:r>
          </w:p>
        </w:tc>
        <w:tc>
          <w:tcPr>
            <w:tcW w:w="624" w:type="dxa"/>
          </w:tcPr>
          <w:p>
            <w:pPr>
              <w:pStyle w:val="0"/>
              <w:jc w:val="center"/>
            </w:pPr>
            <w:r>
              <w:rPr>
                <w:sz w:val="20"/>
              </w:rPr>
              <w:t xml:space="preserve">0,4</w:t>
            </w:r>
          </w:p>
        </w:tc>
        <w:tc>
          <w:tcPr>
            <w:tcW w:w="797" w:type="dxa"/>
          </w:tcPr>
          <w:p>
            <w:pPr>
              <w:pStyle w:val="0"/>
              <w:jc w:val="center"/>
            </w:pPr>
            <w:r>
              <w:rPr>
                <w:sz w:val="20"/>
              </w:rPr>
              <w:t xml:space="preserve">3,6</w:t>
            </w:r>
          </w:p>
        </w:tc>
      </w:tr>
      <w:tr>
        <w:tc>
          <w:tcPr>
            <w:tcW w:w="2778" w:type="dxa"/>
          </w:tcPr>
          <w:p>
            <w:pPr>
              <w:pStyle w:val="0"/>
            </w:pPr>
            <w:r>
              <w:rPr>
                <w:sz w:val="20"/>
              </w:rPr>
              <w:t xml:space="preserve">Деятельность в области информации и связи</w:t>
            </w:r>
          </w:p>
        </w:tc>
        <w:tc>
          <w:tcPr>
            <w:tcW w:w="624" w:type="dxa"/>
          </w:tcPr>
          <w:p>
            <w:pPr>
              <w:pStyle w:val="0"/>
              <w:jc w:val="center"/>
            </w:pPr>
            <w:r>
              <w:rPr>
                <w:sz w:val="20"/>
              </w:rPr>
              <w:t xml:space="preserve">2,2</w:t>
            </w:r>
          </w:p>
        </w:tc>
        <w:tc>
          <w:tcPr>
            <w:tcW w:w="680" w:type="dxa"/>
          </w:tcPr>
          <w:p>
            <w:pPr>
              <w:pStyle w:val="0"/>
              <w:jc w:val="center"/>
            </w:pPr>
            <w:r>
              <w:rPr>
                <w:sz w:val="20"/>
              </w:rPr>
              <w:t xml:space="preserve">7,4</w:t>
            </w:r>
          </w:p>
        </w:tc>
        <w:tc>
          <w:tcPr>
            <w:tcW w:w="737" w:type="dxa"/>
          </w:tcPr>
          <w:p>
            <w:pPr>
              <w:pStyle w:val="0"/>
              <w:jc w:val="center"/>
            </w:pPr>
            <w:r>
              <w:rPr>
                <w:sz w:val="20"/>
              </w:rPr>
              <w:t xml:space="preserve">1,4</w:t>
            </w:r>
          </w:p>
        </w:tc>
        <w:tc>
          <w:tcPr>
            <w:tcW w:w="624" w:type="dxa"/>
          </w:tcPr>
          <w:p>
            <w:pPr>
              <w:pStyle w:val="0"/>
              <w:jc w:val="center"/>
            </w:pPr>
            <w:r>
              <w:rPr>
                <w:sz w:val="20"/>
              </w:rPr>
              <w:t xml:space="preserve">0,9</w:t>
            </w:r>
          </w:p>
        </w:tc>
        <w:tc>
          <w:tcPr>
            <w:tcW w:w="737" w:type="dxa"/>
          </w:tcPr>
          <w:p>
            <w:pPr>
              <w:pStyle w:val="0"/>
              <w:jc w:val="center"/>
            </w:pPr>
            <w:r>
              <w:rPr>
                <w:sz w:val="20"/>
              </w:rPr>
              <w:t xml:space="preserve">0,5</w:t>
            </w:r>
          </w:p>
        </w:tc>
        <w:tc>
          <w:tcPr>
            <w:tcW w:w="624" w:type="dxa"/>
          </w:tcPr>
          <w:p>
            <w:pPr>
              <w:pStyle w:val="0"/>
              <w:jc w:val="center"/>
            </w:pPr>
            <w:r>
              <w:rPr>
                <w:sz w:val="20"/>
              </w:rPr>
              <w:t xml:space="preserve">0,0</w:t>
            </w:r>
          </w:p>
        </w:tc>
        <w:tc>
          <w:tcPr>
            <w:tcW w:w="794" w:type="dxa"/>
          </w:tcPr>
          <w:p>
            <w:pPr>
              <w:pStyle w:val="0"/>
              <w:jc w:val="center"/>
            </w:pPr>
            <w:r>
              <w:rPr>
                <w:sz w:val="20"/>
              </w:rPr>
              <w:t xml:space="preserve">0,8</w:t>
            </w:r>
          </w:p>
        </w:tc>
        <w:tc>
          <w:tcPr>
            <w:tcW w:w="624" w:type="dxa"/>
          </w:tcPr>
          <w:p>
            <w:pPr>
              <w:pStyle w:val="0"/>
              <w:jc w:val="center"/>
            </w:pPr>
            <w:r>
              <w:rPr>
                <w:sz w:val="20"/>
              </w:rPr>
              <w:t xml:space="preserve">0,2</w:t>
            </w:r>
          </w:p>
        </w:tc>
        <w:tc>
          <w:tcPr>
            <w:tcW w:w="797" w:type="dxa"/>
          </w:tcPr>
          <w:p>
            <w:pPr>
              <w:pStyle w:val="0"/>
              <w:jc w:val="center"/>
            </w:pPr>
            <w:r>
              <w:rPr>
                <w:sz w:val="20"/>
              </w:rPr>
              <w:t xml:space="preserve">0,1</w:t>
            </w:r>
          </w:p>
        </w:tc>
      </w:tr>
      <w:tr>
        <w:tc>
          <w:tcPr>
            <w:tcW w:w="2778" w:type="dxa"/>
          </w:tcPr>
          <w:p>
            <w:pPr>
              <w:pStyle w:val="0"/>
            </w:pPr>
            <w:r>
              <w:rPr>
                <w:sz w:val="20"/>
              </w:rPr>
              <w:t xml:space="preserve">Деятельность финансовая и страховая</w:t>
            </w:r>
          </w:p>
        </w:tc>
        <w:tc>
          <w:tcPr>
            <w:tcW w:w="624" w:type="dxa"/>
          </w:tcPr>
          <w:p>
            <w:pPr>
              <w:pStyle w:val="0"/>
              <w:jc w:val="center"/>
            </w:pPr>
            <w:r>
              <w:rPr>
                <w:sz w:val="20"/>
              </w:rPr>
              <w:t xml:space="preserve">1,7</w:t>
            </w:r>
          </w:p>
        </w:tc>
        <w:tc>
          <w:tcPr>
            <w:tcW w:w="680" w:type="dxa"/>
          </w:tcPr>
          <w:p>
            <w:pPr>
              <w:pStyle w:val="0"/>
              <w:jc w:val="center"/>
            </w:pPr>
            <w:r>
              <w:rPr>
                <w:sz w:val="20"/>
              </w:rPr>
              <w:t xml:space="preserve">4,1</w:t>
            </w:r>
          </w:p>
        </w:tc>
        <w:tc>
          <w:tcPr>
            <w:tcW w:w="737" w:type="dxa"/>
          </w:tcPr>
          <w:p>
            <w:pPr>
              <w:pStyle w:val="0"/>
              <w:jc w:val="center"/>
            </w:pPr>
            <w:r>
              <w:rPr>
                <w:sz w:val="20"/>
              </w:rPr>
              <w:t xml:space="preserve">3,3</w:t>
            </w:r>
          </w:p>
        </w:tc>
        <w:tc>
          <w:tcPr>
            <w:tcW w:w="624" w:type="dxa"/>
          </w:tcPr>
          <w:p>
            <w:pPr>
              <w:pStyle w:val="0"/>
              <w:jc w:val="center"/>
            </w:pPr>
            <w:r>
              <w:rPr>
                <w:sz w:val="20"/>
              </w:rPr>
              <w:t xml:space="preserve">0,4</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0,1</w:t>
            </w:r>
          </w:p>
        </w:tc>
        <w:tc>
          <w:tcPr>
            <w:tcW w:w="624" w:type="dxa"/>
          </w:tcPr>
          <w:p>
            <w:pPr>
              <w:pStyle w:val="0"/>
              <w:jc w:val="center"/>
            </w:pPr>
            <w:r>
              <w:rPr>
                <w:sz w:val="20"/>
              </w:rPr>
              <w:t xml:space="preserve">0,1</w:t>
            </w:r>
          </w:p>
        </w:tc>
        <w:tc>
          <w:tcPr>
            <w:tcW w:w="797" w:type="dxa"/>
          </w:tcPr>
          <w:p>
            <w:pPr>
              <w:pStyle w:val="0"/>
              <w:jc w:val="center"/>
            </w:pPr>
            <w:r>
              <w:rPr>
                <w:sz w:val="20"/>
              </w:rPr>
              <w:t xml:space="preserve">0,2</w:t>
            </w:r>
          </w:p>
        </w:tc>
      </w:tr>
      <w:tr>
        <w:tc>
          <w:tcPr>
            <w:tcW w:w="2778" w:type="dxa"/>
          </w:tcPr>
          <w:p>
            <w:pPr>
              <w:pStyle w:val="0"/>
            </w:pPr>
            <w:r>
              <w:rPr>
                <w:sz w:val="20"/>
              </w:rPr>
              <w:t xml:space="preserve">Деятельность по операциям с недвижимым имуществом</w:t>
            </w:r>
          </w:p>
        </w:tc>
        <w:tc>
          <w:tcPr>
            <w:tcW w:w="624" w:type="dxa"/>
          </w:tcPr>
          <w:p>
            <w:pPr>
              <w:pStyle w:val="0"/>
              <w:jc w:val="center"/>
            </w:pPr>
            <w:r>
              <w:rPr>
                <w:sz w:val="20"/>
              </w:rPr>
              <w:t xml:space="preserve">2,8</w:t>
            </w:r>
          </w:p>
        </w:tc>
        <w:tc>
          <w:tcPr>
            <w:tcW w:w="680" w:type="dxa"/>
          </w:tcPr>
          <w:p>
            <w:pPr>
              <w:pStyle w:val="0"/>
              <w:jc w:val="center"/>
            </w:pPr>
            <w:r>
              <w:rPr>
                <w:sz w:val="20"/>
              </w:rPr>
              <w:t xml:space="preserve">2,8</w:t>
            </w:r>
          </w:p>
        </w:tc>
        <w:tc>
          <w:tcPr>
            <w:tcW w:w="737" w:type="dxa"/>
          </w:tcPr>
          <w:p>
            <w:pPr>
              <w:pStyle w:val="0"/>
              <w:jc w:val="center"/>
            </w:pPr>
            <w:r>
              <w:rPr>
                <w:sz w:val="20"/>
              </w:rPr>
              <w:t xml:space="preserve">2,0</w:t>
            </w:r>
          </w:p>
        </w:tc>
        <w:tc>
          <w:tcPr>
            <w:tcW w:w="624" w:type="dxa"/>
          </w:tcPr>
          <w:p>
            <w:pPr>
              <w:pStyle w:val="0"/>
              <w:jc w:val="center"/>
            </w:pPr>
            <w:r>
              <w:rPr>
                <w:sz w:val="20"/>
              </w:rPr>
              <w:t xml:space="preserve">1,1</w:t>
            </w:r>
          </w:p>
        </w:tc>
        <w:tc>
          <w:tcPr>
            <w:tcW w:w="737" w:type="dxa"/>
          </w:tcPr>
          <w:p>
            <w:pPr>
              <w:pStyle w:val="0"/>
              <w:jc w:val="center"/>
            </w:pPr>
            <w:r>
              <w:rPr>
                <w:sz w:val="20"/>
              </w:rPr>
              <w:t xml:space="preserve">1,3</w:t>
            </w:r>
          </w:p>
        </w:tc>
        <w:tc>
          <w:tcPr>
            <w:tcW w:w="624" w:type="dxa"/>
          </w:tcPr>
          <w:p>
            <w:pPr>
              <w:pStyle w:val="0"/>
              <w:jc w:val="center"/>
            </w:pPr>
            <w:r>
              <w:rPr>
                <w:sz w:val="20"/>
              </w:rPr>
              <w:t xml:space="preserve">0,1</w:t>
            </w:r>
          </w:p>
        </w:tc>
        <w:tc>
          <w:tcPr>
            <w:tcW w:w="794" w:type="dxa"/>
          </w:tcPr>
          <w:p>
            <w:pPr>
              <w:pStyle w:val="0"/>
              <w:jc w:val="center"/>
            </w:pPr>
            <w:r>
              <w:rPr>
                <w:sz w:val="20"/>
              </w:rPr>
              <w:t xml:space="preserve">5,0</w:t>
            </w:r>
          </w:p>
        </w:tc>
        <w:tc>
          <w:tcPr>
            <w:tcW w:w="624" w:type="dxa"/>
          </w:tcPr>
          <w:p>
            <w:pPr>
              <w:pStyle w:val="0"/>
              <w:jc w:val="center"/>
            </w:pPr>
            <w:r>
              <w:rPr>
                <w:sz w:val="20"/>
              </w:rPr>
              <w:t xml:space="preserve">1,3</w:t>
            </w:r>
          </w:p>
        </w:tc>
        <w:tc>
          <w:tcPr>
            <w:tcW w:w="797" w:type="dxa"/>
          </w:tcPr>
          <w:p>
            <w:pPr>
              <w:pStyle w:val="0"/>
              <w:jc w:val="center"/>
            </w:pPr>
            <w:r>
              <w:rPr>
                <w:sz w:val="20"/>
              </w:rPr>
              <w:t xml:space="preserve">3,6</w:t>
            </w:r>
          </w:p>
        </w:tc>
      </w:tr>
      <w:tr>
        <w:tc>
          <w:tcPr>
            <w:tcW w:w="2778" w:type="dxa"/>
          </w:tcPr>
          <w:p>
            <w:pPr>
              <w:pStyle w:val="0"/>
            </w:pPr>
            <w:r>
              <w:rPr>
                <w:sz w:val="20"/>
              </w:rPr>
              <w:t xml:space="preserve">Деятельность профессиональная, научная и техническая</w:t>
            </w:r>
          </w:p>
        </w:tc>
        <w:tc>
          <w:tcPr>
            <w:tcW w:w="624" w:type="dxa"/>
          </w:tcPr>
          <w:p>
            <w:pPr>
              <w:pStyle w:val="0"/>
              <w:jc w:val="center"/>
            </w:pPr>
            <w:r>
              <w:rPr>
                <w:sz w:val="20"/>
              </w:rPr>
              <w:t xml:space="preserve">3,2</w:t>
            </w:r>
          </w:p>
        </w:tc>
        <w:tc>
          <w:tcPr>
            <w:tcW w:w="680" w:type="dxa"/>
          </w:tcPr>
          <w:p>
            <w:pPr>
              <w:pStyle w:val="0"/>
              <w:jc w:val="center"/>
            </w:pPr>
            <w:r>
              <w:rPr>
                <w:sz w:val="20"/>
              </w:rPr>
              <w:t xml:space="preserve">11,2</w:t>
            </w:r>
          </w:p>
        </w:tc>
        <w:tc>
          <w:tcPr>
            <w:tcW w:w="737" w:type="dxa"/>
          </w:tcPr>
          <w:p>
            <w:pPr>
              <w:pStyle w:val="0"/>
              <w:jc w:val="center"/>
            </w:pPr>
            <w:r>
              <w:rPr>
                <w:sz w:val="20"/>
              </w:rPr>
              <w:t xml:space="preserve">2,0</w:t>
            </w:r>
          </w:p>
        </w:tc>
        <w:tc>
          <w:tcPr>
            <w:tcW w:w="624" w:type="dxa"/>
          </w:tcPr>
          <w:p>
            <w:pPr>
              <w:pStyle w:val="0"/>
              <w:jc w:val="center"/>
            </w:pPr>
            <w:r>
              <w:rPr>
                <w:sz w:val="20"/>
              </w:rPr>
              <w:t xml:space="preserve">0,5</w:t>
            </w:r>
          </w:p>
        </w:tc>
        <w:tc>
          <w:tcPr>
            <w:tcW w:w="737" w:type="dxa"/>
          </w:tcPr>
          <w:p>
            <w:pPr>
              <w:pStyle w:val="0"/>
              <w:jc w:val="center"/>
            </w:pPr>
            <w:r>
              <w:rPr>
                <w:sz w:val="20"/>
              </w:rPr>
              <w:t xml:space="preserve">0,3</w:t>
            </w:r>
          </w:p>
        </w:tc>
        <w:tc>
          <w:tcPr>
            <w:tcW w:w="624" w:type="dxa"/>
          </w:tcPr>
          <w:p>
            <w:pPr>
              <w:pStyle w:val="0"/>
              <w:jc w:val="center"/>
            </w:pPr>
            <w:r>
              <w:rPr>
                <w:sz w:val="20"/>
              </w:rPr>
              <w:t xml:space="preserve">0,0</w:t>
            </w:r>
          </w:p>
        </w:tc>
        <w:tc>
          <w:tcPr>
            <w:tcW w:w="794" w:type="dxa"/>
          </w:tcPr>
          <w:p>
            <w:pPr>
              <w:pStyle w:val="0"/>
              <w:jc w:val="center"/>
            </w:pPr>
            <w:r>
              <w:rPr>
                <w:sz w:val="20"/>
              </w:rPr>
              <w:t xml:space="preserve">0,9</w:t>
            </w:r>
          </w:p>
        </w:tc>
        <w:tc>
          <w:tcPr>
            <w:tcW w:w="624" w:type="dxa"/>
          </w:tcPr>
          <w:p>
            <w:pPr>
              <w:pStyle w:val="0"/>
              <w:jc w:val="center"/>
            </w:pPr>
            <w:r>
              <w:rPr>
                <w:sz w:val="20"/>
              </w:rPr>
              <w:t xml:space="preserve">0,5</w:t>
            </w:r>
          </w:p>
        </w:tc>
        <w:tc>
          <w:tcPr>
            <w:tcW w:w="797" w:type="dxa"/>
          </w:tcPr>
          <w:p>
            <w:pPr>
              <w:pStyle w:val="0"/>
              <w:jc w:val="center"/>
            </w:pPr>
            <w:r>
              <w:rPr>
                <w:sz w:val="20"/>
              </w:rPr>
              <w:t xml:space="preserve">0,8</w:t>
            </w:r>
          </w:p>
        </w:tc>
      </w:tr>
      <w:tr>
        <w:tc>
          <w:tcPr>
            <w:tcW w:w="2778" w:type="dxa"/>
          </w:tcPr>
          <w:p>
            <w:pPr>
              <w:pStyle w:val="0"/>
            </w:pPr>
            <w:r>
              <w:rPr>
                <w:sz w:val="20"/>
              </w:rPr>
              <w:t xml:space="preserve">Деятельность административная и сопутствующие дополнительные услуги</w:t>
            </w:r>
          </w:p>
        </w:tc>
        <w:tc>
          <w:tcPr>
            <w:tcW w:w="624" w:type="dxa"/>
          </w:tcPr>
          <w:p>
            <w:pPr>
              <w:pStyle w:val="0"/>
              <w:jc w:val="center"/>
            </w:pPr>
            <w:r>
              <w:rPr>
                <w:sz w:val="20"/>
              </w:rPr>
              <w:t xml:space="preserve">1,9</w:t>
            </w:r>
          </w:p>
        </w:tc>
        <w:tc>
          <w:tcPr>
            <w:tcW w:w="680" w:type="dxa"/>
          </w:tcPr>
          <w:p>
            <w:pPr>
              <w:pStyle w:val="0"/>
              <w:jc w:val="center"/>
            </w:pPr>
            <w:r>
              <w:rPr>
                <w:sz w:val="20"/>
              </w:rPr>
              <w:t xml:space="preserve">1,3</w:t>
            </w:r>
          </w:p>
        </w:tc>
        <w:tc>
          <w:tcPr>
            <w:tcW w:w="737" w:type="dxa"/>
          </w:tcPr>
          <w:p>
            <w:pPr>
              <w:pStyle w:val="0"/>
              <w:jc w:val="center"/>
            </w:pPr>
            <w:r>
              <w:rPr>
                <w:sz w:val="20"/>
              </w:rPr>
              <w:t xml:space="preserve">0,8</w:t>
            </w:r>
          </w:p>
        </w:tc>
        <w:tc>
          <w:tcPr>
            <w:tcW w:w="624" w:type="dxa"/>
          </w:tcPr>
          <w:p>
            <w:pPr>
              <w:pStyle w:val="0"/>
              <w:jc w:val="center"/>
            </w:pPr>
            <w:r>
              <w:rPr>
                <w:sz w:val="20"/>
              </w:rPr>
              <w:t xml:space="preserve">0,4</w:t>
            </w:r>
          </w:p>
        </w:tc>
        <w:tc>
          <w:tcPr>
            <w:tcW w:w="737" w:type="dxa"/>
          </w:tcPr>
          <w:p>
            <w:pPr>
              <w:pStyle w:val="0"/>
              <w:jc w:val="center"/>
            </w:pPr>
            <w:r>
              <w:rPr>
                <w:sz w:val="20"/>
              </w:rPr>
              <w:t xml:space="preserve">10,8</w:t>
            </w:r>
          </w:p>
        </w:tc>
        <w:tc>
          <w:tcPr>
            <w:tcW w:w="624" w:type="dxa"/>
          </w:tcPr>
          <w:p>
            <w:pPr>
              <w:pStyle w:val="0"/>
              <w:jc w:val="center"/>
            </w:pPr>
            <w:r>
              <w:rPr>
                <w:sz w:val="20"/>
              </w:rPr>
              <w:t xml:space="preserve">0,1</w:t>
            </w:r>
          </w:p>
        </w:tc>
        <w:tc>
          <w:tcPr>
            <w:tcW w:w="794" w:type="dxa"/>
          </w:tcPr>
          <w:p>
            <w:pPr>
              <w:pStyle w:val="0"/>
              <w:jc w:val="center"/>
            </w:pPr>
            <w:r>
              <w:rPr>
                <w:sz w:val="20"/>
              </w:rPr>
              <w:t xml:space="preserve">0,6</w:t>
            </w:r>
          </w:p>
        </w:tc>
        <w:tc>
          <w:tcPr>
            <w:tcW w:w="624" w:type="dxa"/>
          </w:tcPr>
          <w:p>
            <w:pPr>
              <w:pStyle w:val="0"/>
              <w:jc w:val="center"/>
            </w:pPr>
            <w:r>
              <w:rPr>
                <w:sz w:val="20"/>
              </w:rPr>
              <w:t xml:space="preserve">1,4</w:t>
            </w:r>
          </w:p>
        </w:tc>
        <w:tc>
          <w:tcPr>
            <w:tcW w:w="797" w:type="dxa"/>
          </w:tcPr>
          <w:p>
            <w:pPr>
              <w:pStyle w:val="0"/>
              <w:jc w:val="center"/>
            </w:pPr>
            <w:r>
              <w:rPr>
                <w:sz w:val="20"/>
              </w:rPr>
              <w:t xml:space="preserve">2,5</w:t>
            </w:r>
          </w:p>
        </w:tc>
      </w:tr>
      <w:tr>
        <w:tc>
          <w:tcPr>
            <w:tcW w:w="2778" w:type="dxa"/>
          </w:tcPr>
          <w:p>
            <w:pPr>
              <w:pStyle w:val="0"/>
            </w:pPr>
            <w:r>
              <w:rPr>
                <w:sz w:val="20"/>
              </w:rPr>
              <w:t xml:space="preserve">Госуправление и обеспечение военной безопасности; соцобеспечение</w:t>
            </w:r>
          </w:p>
        </w:tc>
        <w:tc>
          <w:tcPr>
            <w:tcW w:w="624" w:type="dxa"/>
          </w:tcPr>
          <w:p>
            <w:pPr>
              <w:pStyle w:val="0"/>
              <w:jc w:val="center"/>
            </w:pPr>
            <w:r>
              <w:rPr>
                <w:sz w:val="20"/>
              </w:rPr>
              <w:t xml:space="preserve">4,2</w:t>
            </w:r>
          </w:p>
        </w:tc>
        <w:tc>
          <w:tcPr>
            <w:tcW w:w="680" w:type="dxa"/>
          </w:tcPr>
          <w:p>
            <w:pPr>
              <w:pStyle w:val="0"/>
              <w:jc w:val="center"/>
            </w:pPr>
            <w:r>
              <w:rPr>
                <w:sz w:val="20"/>
              </w:rPr>
              <w:t xml:space="preserve">13,2</w:t>
            </w:r>
          </w:p>
        </w:tc>
        <w:tc>
          <w:tcPr>
            <w:tcW w:w="737" w:type="dxa"/>
          </w:tcPr>
          <w:p>
            <w:pPr>
              <w:pStyle w:val="0"/>
              <w:jc w:val="center"/>
            </w:pPr>
            <w:r>
              <w:rPr>
                <w:sz w:val="20"/>
              </w:rPr>
              <w:t xml:space="preserve">6,1</w:t>
            </w:r>
          </w:p>
        </w:tc>
        <w:tc>
          <w:tcPr>
            <w:tcW w:w="624" w:type="dxa"/>
          </w:tcPr>
          <w:p>
            <w:pPr>
              <w:pStyle w:val="0"/>
              <w:jc w:val="center"/>
            </w:pPr>
            <w:r>
              <w:rPr>
                <w:sz w:val="20"/>
              </w:rPr>
              <w:t xml:space="preserve">1,4</w:t>
            </w:r>
          </w:p>
        </w:tc>
        <w:tc>
          <w:tcPr>
            <w:tcW w:w="737" w:type="dxa"/>
          </w:tcPr>
          <w:p>
            <w:pPr>
              <w:pStyle w:val="0"/>
              <w:jc w:val="center"/>
            </w:pPr>
            <w:r>
              <w:rPr>
                <w:sz w:val="20"/>
              </w:rPr>
              <w:t xml:space="preserve">3,8</w:t>
            </w:r>
          </w:p>
        </w:tc>
        <w:tc>
          <w:tcPr>
            <w:tcW w:w="624" w:type="dxa"/>
          </w:tcPr>
          <w:p>
            <w:pPr>
              <w:pStyle w:val="0"/>
              <w:jc w:val="center"/>
            </w:pPr>
            <w:r>
              <w:rPr>
                <w:sz w:val="20"/>
              </w:rPr>
              <w:t xml:space="preserve">0,0</w:t>
            </w:r>
          </w:p>
        </w:tc>
        <w:tc>
          <w:tcPr>
            <w:tcW w:w="794" w:type="dxa"/>
          </w:tcPr>
          <w:p>
            <w:pPr>
              <w:pStyle w:val="0"/>
              <w:jc w:val="center"/>
            </w:pPr>
            <w:r>
              <w:rPr>
                <w:sz w:val="20"/>
              </w:rPr>
              <w:t xml:space="preserve">0,3</w:t>
            </w:r>
          </w:p>
        </w:tc>
        <w:tc>
          <w:tcPr>
            <w:tcW w:w="624" w:type="dxa"/>
          </w:tcPr>
          <w:p>
            <w:pPr>
              <w:pStyle w:val="0"/>
              <w:jc w:val="center"/>
            </w:pPr>
            <w:r>
              <w:rPr>
                <w:sz w:val="20"/>
              </w:rPr>
              <w:t xml:space="preserve">1,2</w:t>
            </w:r>
          </w:p>
        </w:tc>
        <w:tc>
          <w:tcPr>
            <w:tcW w:w="797" w:type="dxa"/>
          </w:tcPr>
          <w:p>
            <w:pPr>
              <w:pStyle w:val="0"/>
              <w:jc w:val="center"/>
            </w:pPr>
            <w:r>
              <w:rPr>
                <w:sz w:val="20"/>
              </w:rPr>
              <w:t xml:space="preserve">0,6</w:t>
            </w:r>
          </w:p>
        </w:tc>
      </w:tr>
      <w:tr>
        <w:tc>
          <w:tcPr>
            <w:tcW w:w="2778" w:type="dxa"/>
          </w:tcPr>
          <w:p>
            <w:pPr>
              <w:pStyle w:val="0"/>
            </w:pPr>
            <w:r>
              <w:rPr>
                <w:sz w:val="20"/>
              </w:rPr>
              <w:t xml:space="preserve">Образование</w:t>
            </w:r>
          </w:p>
        </w:tc>
        <w:tc>
          <w:tcPr>
            <w:tcW w:w="624" w:type="dxa"/>
          </w:tcPr>
          <w:p>
            <w:pPr>
              <w:pStyle w:val="0"/>
              <w:jc w:val="center"/>
            </w:pPr>
            <w:r>
              <w:rPr>
                <w:sz w:val="20"/>
              </w:rPr>
              <w:t xml:space="preserve">5,2</w:t>
            </w:r>
          </w:p>
        </w:tc>
        <w:tc>
          <w:tcPr>
            <w:tcW w:w="680" w:type="dxa"/>
          </w:tcPr>
          <w:p>
            <w:pPr>
              <w:pStyle w:val="0"/>
              <w:jc w:val="center"/>
            </w:pPr>
            <w:r>
              <w:rPr>
                <w:sz w:val="20"/>
              </w:rPr>
              <w:t xml:space="preserve">32,1</w:t>
            </w:r>
          </w:p>
        </w:tc>
        <w:tc>
          <w:tcPr>
            <w:tcW w:w="737" w:type="dxa"/>
          </w:tcPr>
          <w:p>
            <w:pPr>
              <w:pStyle w:val="0"/>
              <w:jc w:val="center"/>
            </w:pPr>
            <w:r>
              <w:rPr>
                <w:sz w:val="20"/>
              </w:rPr>
              <w:t xml:space="preserve">1,6</w:t>
            </w:r>
          </w:p>
        </w:tc>
        <w:tc>
          <w:tcPr>
            <w:tcW w:w="624" w:type="dxa"/>
          </w:tcPr>
          <w:p>
            <w:pPr>
              <w:pStyle w:val="0"/>
              <w:jc w:val="center"/>
            </w:pPr>
            <w:r>
              <w:rPr>
                <w:sz w:val="20"/>
              </w:rPr>
              <w:t xml:space="preserve">2,0</w:t>
            </w:r>
          </w:p>
        </w:tc>
        <w:tc>
          <w:tcPr>
            <w:tcW w:w="737" w:type="dxa"/>
          </w:tcPr>
          <w:p>
            <w:pPr>
              <w:pStyle w:val="0"/>
              <w:jc w:val="center"/>
            </w:pPr>
            <w:r>
              <w:rPr>
                <w:sz w:val="20"/>
              </w:rPr>
              <w:t xml:space="preserve">7,2</w:t>
            </w:r>
          </w:p>
        </w:tc>
        <w:tc>
          <w:tcPr>
            <w:tcW w:w="624" w:type="dxa"/>
          </w:tcPr>
          <w:p>
            <w:pPr>
              <w:pStyle w:val="0"/>
              <w:jc w:val="center"/>
            </w:pPr>
            <w:r>
              <w:rPr>
                <w:sz w:val="20"/>
              </w:rPr>
              <w:t xml:space="preserve">0,0</w:t>
            </w:r>
          </w:p>
        </w:tc>
        <w:tc>
          <w:tcPr>
            <w:tcW w:w="794" w:type="dxa"/>
          </w:tcPr>
          <w:p>
            <w:pPr>
              <w:pStyle w:val="0"/>
              <w:jc w:val="center"/>
            </w:pPr>
            <w:r>
              <w:rPr>
                <w:sz w:val="20"/>
              </w:rPr>
              <w:t xml:space="preserve">0,6</w:t>
            </w:r>
          </w:p>
        </w:tc>
        <w:tc>
          <w:tcPr>
            <w:tcW w:w="624" w:type="dxa"/>
          </w:tcPr>
          <w:p>
            <w:pPr>
              <w:pStyle w:val="0"/>
              <w:jc w:val="center"/>
            </w:pPr>
            <w:r>
              <w:rPr>
                <w:sz w:val="20"/>
              </w:rPr>
              <w:t xml:space="preserve">0,9</w:t>
            </w:r>
          </w:p>
        </w:tc>
        <w:tc>
          <w:tcPr>
            <w:tcW w:w="797" w:type="dxa"/>
          </w:tcPr>
          <w:p>
            <w:pPr>
              <w:pStyle w:val="0"/>
              <w:jc w:val="center"/>
            </w:pPr>
            <w:r>
              <w:rPr>
                <w:sz w:val="20"/>
              </w:rPr>
              <w:t xml:space="preserve">6,5</w:t>
            </w:r>
          </w:p>
        </w:tc>
      </w:tr>
      <w:tr>
        <w:tc>
          <w:tcPr>
            <w:tcW w:w="2778" w:type="dxa"/>
          </w:tcPr>
          <w:p>
            <w:pPr>
              <w:pStyle w:val="0"/>
            </w:pPr>
            <w:r>
              <w:rPr>
                <w:sz w:val="20"/>
              </w:rPr>
              <w:t xml:space="preserve">Деятельность в области здравоохранения и социальных услуг</w:t>
            </w:r>
          </w:p>
        </w:tc>
        <w:tc>
          <w:tcPr>
            <w:tcW w:w="624" w:type="dxa"/>
          </w:tcPr>
          <w:p>
            <w:pPr>
              <w:pStyle w:val="0"/>
              <w:jc w:val="center"/>
            </w:pPr>
            <w:r>
              <w:rPr>
                <w:sz w:val="20"/>
              </w:rPr>
              <w:t xml:space="preserve">2,1</w:t>
            </w:r>
          </w:p>
        </w:tc>
        <w:tc>
          <w:tcPr>
            <w:tcW w:w="680" w:type="dxa"/>
          </w:tcPr>
          <w:p>
            <w:pPr>
              <w:pStyle w:val="0"/>
              <w:jc w:val="center"/>
            </w:pPr>
            <w:r>
              <w:rPr>
                <w:sz w:val="20"/>
              </w:rPr>
              <w:t xml:space="preserve">11,0</w:t>
            </w:r>
          </w:p>
        </w:tc>
        <w:tc>
          <w:tcPr>
            <w:tcW w:w="737" w:type="dxa"/>
          </w:tcPr>
          <w:p>
            <w:pPr>
              <w:pStyle w:val="0"/>
              <w:jc w:val="center"/>
            </w:pPr>
            <w:r>
              <w:rPr>
                <w:sz w:val="20"/>
              </w:rPr>
              <w:t xml:space="preserve">18,1</w:t>
            </w:r>
          </w:p>
        </w:tc>
        <w:tc>
          <w:tcPr>
            <w:tcW w:w="624" w:type="dxa"/>
          </w:tcPr>
          <w:p>
            <w:pPr>
              <w:pStyle w:val="0"/>
              <w:jc w:val="center"/>
            </w:pPr>
            <w:r>
              <w:rPr>
                <w:sz w:val="20"/>
              </w:rPr>
              <w:t xml:space="preserve">0,6</w:t>
            </w:r>
          </w:p>
        </w:tc>
        <w:tc>
          <w:tcPr>
            <w:tcW w:w="737" w:type="dxa"/>
          </w:tcPr>
          <w:p>
            <w:pPr>
              <w:pStyle w:val="0"/>
              <w:jc w:val="center"/>
            </w:pPr>
            <w:r>
              <w:rPr>
                <w:sz w:val="20"/>
              </w:rPr>
              <w:t xml:space="preserve">4,5</w:t>
            </w:r>
          </w:p>
        </w:tc>
        <w:tc>
          <w:tcPr>
            <w:tcW w:w="624" w:type="dxa"/>
          </w:tcPr>
          <w:p>
            <w:pPr>
              <w:pStyle w:val="0"/>
              <w:jc w:val="center"/>
            </w:pPr>
            <w:r>
              <w:rPr>
                <w:sz w:val="20"/>
              </w:rPr>
              <w:t xml:space="preserve">0,0</w:t>
            </w:r>
          </w:p>
        </w:tc>
        <w:tc>
          <w:tcPr>
            <w:tcW w:w="794" w:type="dxa"/>
          </w:tcPr>
          <w:p>
            <w:pPr>
              <w:pStyle w:val="0"/>
              <w:jc w:val="center"/>
            </w:pPr>
            <w:r>
              <w:rPr>
                <w:sz w:val="20"/>
              </w:rPr>
              <w:t xml:space="preserve">0,6</w:t>
            </w:r>
          </w:p>
        </w:tc>
        <w:tc>
          <w:tcPr>
            <w:tcW w:w="624" w:type="dxa"/>
          </w:tcPr>
          <w:p>
            <w:pPr>
              <w:pStyle w:val="0"/>
              <w:jc w:val="center"/>
            </w:pPr>
            <w:r>
              <w:rPr>
                <w:sz w:val="20"/>
              </w:rPr>
              <w:t xml:space="preserve">1,4</w:t>
            </w:r>
          </w:p>
        </w:tc>
        <w:tc>
          <w:tcPr>
            <w:tcW w:w="797" w:type="dxa"/>
          </w:tcPr>
          <w:p>
            <w:pPr>
              <w:pStyle w:val="0"/>
              <w:jc w:val="center"/>
            </w:pPr>
            <w:r>
              <w:rPr>
                <w:sz w:val="20"/>
              </w:rPr>
              <w:t xml:space="preserve">3,3</w:t>
            </w:r>
          </w:p>
        </w:tc>
      </w:tr>
      <w:tr>
        <w:tc>
          <w:tcPr>
            <w:tcW w:w="2778" w:type="dxa"/>
          </w:tcPr>
          <w:p>
            <w:pPr>
              <w:pStyle w:val="0"/>
            </w:pPr>
            <w:r>
              <w:rPr>
                <w:sz w:val="20"/>
              </w:rPr>
              <w:t xml:space="preserve">Деятельность в области культуры, спорта, организации досуга и пр.</w:t>
            </w:r>
          </w:p>
        </w:tc>
        <w:tc>
          <w:tcPr>
            <w:tcW w:w="624" w:type="dxa"/>
          </w:tcPr>
          <w:p>
            <w:pPr>
              <w:pStyle w:val="0"/>
              <w:jc w:val="center"/>
            </w:pPr>
            <w:r>
              <w:rPr>
                <w:sz w:val="20"/>
              </w:rPr>
              <w:t xml:space="preserve">1,6</w:t>
            </w:r>
          </w:p>
        </w:tc>
        <w:tc>
          <w:tcPr>
            <w:tcW w:w="680" w:type="dxa"/>
          </w:tcPr>
          <w:p>
            <w:pPr>
              <w:pStyle w:val="0"/>
              <w:jc w:val="center"/>
            </w:pPr>
            <w:r>
              <w:rPr>
                <w:sz w:val="20"/>
              </w:rPr>
              <w:t xml:space="preserve">4,5</w:t>
            </w:r>
          </w:p>
        </w:tc>
        <w:tc>
          <w:tcPr>
            <w:tcW w:w="737" w:type="dxa"/>
          </w:tcPr>
          <w:p>
            <w:pPr>
              <w:pStyle w:val="0"/>
              <w:jc w:val="center"/>
            </w:pPr>
            <w:r>
              <w:rPr>
                <w:sz w:val="20"/>
              </w:rPr>
              <w:t xml:space="preserve">2,2</w:t>
            </w:r>
          </w:p>
        </w:tc>
        <w:tc>
          <w:tcPr>
            <w:tcW w:w="624" w:type="dxa"/>
          </w:tcPr>
          <w:p>
            <w:pPr>
              <w:pStyle w:val="0"/>
              <w:jc w:val="center"/>
            </w:pPr>
            <w:r>
              <w:rPr>
                <w:sz w:val="20"/>
              </w:rPr>
              <w:t xml:space="preserve">0,5</w:t>
            </w:r>
          </w:p>
        </w:tc>
        <w:tc>
          <w:tcPr>
            <w:tcW w:w="737" w:type="dxa"/>
          </w:tcPr>
          <w:p>
            <w:pPr>
              <w:pStyle w:val="0"/>
              <w:jc w:val="center"/>
            </w:pPr>
            <w:r>
              <w:rPr>
                <w:sz w:val="20"/>
              </w:rPr>
              <w:t xml:space="preserve">0,9</w:t>
            </w:r>
          </w:p>
        </w:tc>
        <w:tc>
          <w:tcPr>
            <w:tcW w:w="624" w:type="dxa"/>
          </w:tcPr>
          <w:p>
            <w:pPr>
              <w:pStyle w:val="0"/>
              <w:jc w:val="center"/>
            </w:pPr>
            <w:r>
              <w:rPr>
                <w:sz w:val="20"/>
              </w:rPr>
              <w:t xml:space="preserve">0,1</w:t>
            </w:r>
          </w:p>
        </w:tc>
        <w:tc>
          <w:tcPr>
            <w:tcW w:w="794" w:type="dxa"/>
          </w:tcPr>
          <w:p>
            <w:pPr>
              <w:pStyle w:val="0"/>
              <w:jc w:val="center"/>
            </w:pPr>
            <w:r>
              <w:rPr>
                <w:sz w:val="20"/>
              </w:rPr>
              <w:t xml:space="preserve">0,2</w:t>
            </w:r>
          </w:p>
        </w:tc>
        <w:tc>
          <w:tcPr>
            <w:tcW w:w="624" w:type="dxa"/>
          </w:tcPr>
          <w:p>
            <w:pPr>
              <w:pStyle w:val="0"/>
              <w:jc w:val="center"/>
            </w:pPr>
            <w:r>
              <w:rPr>
                <w:sz w:val="20"/>
              </w:rPr>
              <w:t xml:space="preserve">0,2</w:t>
            </w:r>
          </w:p>
        </w:tc>
        <w:tc>
          <w:tcPr>
            <w:tcW w:w="797" w:type="dxa"/>
          </w:tcPr>
          <w:p>
            <w:pPr>
              <w:pStyle w:val="0"/>
              <w:jc w:val="center"/>
            </w:pPr>
            <w:r>
              <w:rPr>
                <w:sz w:val="20"/>
              </w:rPr>
              <w:t xml:space="preserve">1,1</w:t>
            </w:r>
          </w:p>
        </w:tc>
      </w:tr>
      <w:tr>
        <w:tc>
          <w:tcPr>
            <w:tcW w:w="2778" w:type="dxa"/>
          </w:tcPr>
          <w:p>
            <w:pPr>
              <w:pStyle w:val="0"/>
            </w:pPr>
            <w:r>
              <w:rPr>
                <w:sz w:val="20"/>
              </w:rPr>
              <w:t xml:space="preserve">Предоставление прочих видов услуг</w:t>
            </w:r>
          </w:p>
        </w:tc>
        <w:tc>
          <w:tcPr>
            <w:tcW w:w="624" w:type="dxa"/>
          </w:tcPr>
          <w:p>
            <w:pPr>
              <w:pStyle w:val="0"/>
              <w:jc w:val="center"/>
            </w:pPr>
            <w:r>
              <w:rPr>
                <w:sz w:val="20"/>
              </w:rPr>
              <w:t xml:space="preserve">2,2</w:t>
            </w:r>
          </w:p>
        </w:tc>
        <w:tc>
          <w:tcPr>
            <w:tcW w:w="680" w:type="dxa"/>
          </w:tcPr>
          <w:p>
            <w:pPr>
              <w:pStyle w:val="0"/>
              <w:jc w:val="center"/>
            </w:pPr>
            <w:r>
              <w:rPr>
                <w:sz w:val="20"/>
              </w:rPr>
              <w:t xml:space="preserve">2,3</w:t>
            </w:r>
          </w:p>
        </w:tc>
        <w:tc>
          <w:tcPr>
            <w:tcW w:w="737" w:type="dxa"/>
          </w:tcPr>
          <w:p>
            <w:pPr>
              <w:pStyle w:val="0"/>
              <w:jc w:val="center"/>
            </w:pPr>
            <w:r>
              <w:rPr>
                <w:sz w:val="20"/>
              </w:rPr>
              <w:t xml:space="preserve">4,4</w:t>
            </w:r>
          </w:p>
        </w:tc>
        <w:tc>
          <w:tcPr>
            <w:tcW w:w="624" w:type="dxa"/>
          </w:tcPr>
          <w:p>
            <w:pPr>
              <w:pStyle w:val="0"/>
              <w:jc w:val="center"/>
            </w:pPr>
            <w:r>
              <w:rPr>
                <w:sz w:val="20"/>
              </w:rPr>
              <w:t xml:space="preserve">0,2</w:t>
            </w:r>
          </w:p>
        </w:tc>
        <w:tc>
          <w:tcPr>
            <w:tcW w:w="737" w:type="dxa"/>
          </w:tcPr>
          <w:p>
            <w:pPr>
              <w:pStyle w:val="0"/>
              <w:jc w:val="center"/>
            </w:pPr>
            <w:r>
              <w:rPr>
                <w:sz w:val="20"/>
              </w:rPr>
              <w:t xml:space="preserve">7,5</w:t>
            </w:r>
          </w:p>
        </w:tc>
        <w:tc>
          <w:tcPr>
            <w:tcW w:w="624" w:type="dxa"/>
          </w:tcPr>
          <w:p>
            <w:pPr>
              <w:pStyle w:val="0"/>
              <w:jc w:val="center"/>
            </w:pPr>
            <w:r>
              <w:rPr>
                <w:sz w:val="20"/>
              </w:rPr>
              <w:t xml:space="preserve">0,0</w:t>
            </w:r>
          </w:p>
        </w:tc>
        <w:tc>
          <w:tcPr>
            <w:tcW w:w="794" w:type="dxa"/>
          </w:tcPr>
          <w:p>
            <w:pPr>
              <w:pStyle w:val="0"/>
              <w:jc w:val="center"/>
            </w:pPr>
            <w:r>
              <w:rPr>
                <w:sz w:val="20"/>
              </w:rPr>
              <w:t xml:space="preserve">1,2</w:t>
            </w:r>
          </w:p>
        </w:tc>
        <w:tc>
          <w:tcPr>
            <w:tcW w:w="624" w:type="dxa"/>
          </w:tcPr>
          <w:p>
            <w:pPr>
              <w:pStyle w:val="0"/>
              <w:jc w:val="center"/>
            </w:pPr>
            <w:r>
              <w:rPr>
                <w:sz w:val="20"/>
              </w:rPr>
              <w:t xml:space="preserve">1,4</w:t>
            </w:r>
          </w:p>
        </w:tc>
        <w:tc>
          <w:tcPr>
            <w:tcW w:w="797" w:type="dxa"/>
          </w:tcPr>
          <w:p>
            <w:pPr>
              <w:pStyle w:val="0"/>
              <w:jc w:val="center"/>
            </w:pPr>
            <w:r>
              <w:rPr>
                <w:sz w:val="20"/>
              </w:rPr>
              <w:t xml:space="preserve">2,7</w:t>
            </w:r>
          </w:p>
        </w:tc>
      </w:tr>
      <w:tr>
        <w:tc>
          <w:tcPr>
            <w:tcW w:w="2778" w:type="dxa"/>
          </w:tcPr>
          <w:p>
            <w:pPr>
              <w:pStyle w:val="0"/>
            </w:pPr>
            <w:r>
              <w:rPr>
                <w:sz w:val="20"/>
              </w:rPr>
              <w:t xml:space="preserve">Итого</w:t>
            </w:r>
          </w:p>
        </w:tc>
        <w:tc>
          <w:tcPr>
            <w:tcW w:w="624" w:type="dxa"/>
          </w:tcPr>
          <w:p>
            <w:pPr>
              <w:pStyle w:val="0"/>
              <w:jc w:val="center"/>
            </w:pPr>
            <w:r>
              <w:rPr>
                <w:sz w:val="20"/>
              </w:rPr>
              <w:t xml:space="preserve">78,5</w:t>
            </w:r>
          </w:p>
        </w:tc>
        <w:tc>
          <w:tcPr>
            <w:tcW w:w="680" w:type="dxa"/>
          </w:tcPr>
          <w:p>
            <w:pPr>
              <w:pStyle w:val="0"/>
              <w:jc w:val="center"/>
            </w:pPr>
            <w:r>
              <w:rPr>
                <w:sz w:val="20"/>
              </w:rPr>
              <w:t xml:space="preserve">149,1</w:t>
            </w:r>
          </w:p>
        </w:tc>
        <w:tc>
          <w:tcPr>
            <w:tcW w:w="737" w:type="dxa"/>
          </w:tcPr>
          <w:p>
            <w:pPr>
              <w:pStyle w:val="0"/>
              <w:jc w:val="center"/>
            </w:pPr>
            <w:r>
              <w:rPr>
                <w:sz w:val="20"/>
              </w:rPr>
              <w:t xml:space="preserve">87,6</w:t>
            </w:r>
          </w:p>
        </w:tc>
        <w:tc>
          <w:tcPr>
            <w:tcW w:w="624" w:type="dxa"/>
          </w:tcPr>
          <w:p>
            <w:pPr>
              <w:pStyle w:val="0"/>
              <w:jc w:val="center"/>
            </w:pPr>
            <w:r>
              <w:rPr>
                <w:sz w:val="20"/>
              </w:rPr>
              <w:t xml:space="preserve">40,6</w:t>
            </w:r>
          </w:p>
        </w:tc>
        <w:tc>
          <w:tcPr>
            <w:tcW w:w="737" w:type="dxa"/>
          </w:tcPr>
          <w:p>
            <w:pPr>
              <w:pStyle w:val="0"/>
              <w:jc w:val="center"/>
            </w:pPr>
            <w:r>
              <w:rPr>
                <w:sz w:val="20"/>
              </w:rPr>
              <w:t xml:space="preserve">107,7</w:t>
            </w:r>
          </w:p>
        </w:tc>
        <w:tc>
          <w:tcPr>
            <w:tcW w:w="624" w:type="dxa"/>
          </w:tcPr>
          <w:p>
            <w:pPr>
              <w:pStyle w:val="0"/>
              <w:jc w:val="center"/>
            </w:pPr>
            <w:r>
              <w:rPr>
                <w:sz w:val="20"/>
              </w:rPr>
              <w:t xml:space="preserve">7,4</w:t>
            </w:r>
          </w:p>
        </w:tc>
        <w:tc>
          <w:tcPr>
            <w:tcW w:w="794" w:type="dxa"/>
          </w:tcPr>
          <w:p>
            <w:pPr>
              <w:pStyle w:val="0"/>
              <w:jc w:val="center"/>
            </w:pPr>
            <w:r>
              <w:rPr>
                <w:sz w:val="20"/>
              </w:rPr>
              <w:t xml:space="preserve">112,3</w:t>
            </w:r>
          </w:p>
        </w:tc>
        <w:tc>
          <w:tcPr>
            <w:tcW w:w="624" w:type="dxa"/>
          </w:tcPr>
          <w:p>
            <w:pPr>
              <w:pStyle w:val="0"/>
              <w:jc w:val="center"/>
            </w:pPr>
            <w:r>
              <w:rPr>
                <w:sz w:val="20"/>
              </w:rPr>
              <w:t xml:space="preserve">95,7</w:t>
            </w:r>
          </w:p>
        </w:tc>
        <w:tc>
          <w:tcPr>
            <w:tcW w:w="797" w:type="dxa"/>
          </w:tcPr>
          <w:p>
            <w:pPr>
              <w:pStyle w:val="0"/>
              <w:jc w:val="center"/>
            </w:pPr>
            <w:r>
              <w:rPr>
                <w:sz w:val="20"/>
              </w:rPr>
              <w:t xml:space="preserve">64,5</w:t>
            </w:r>
          </w:p>
        </w:tc>
      </w:tr>
      <w:tr>
        <w:tc>
          <w:tcPr>
            <w:tcW w:w="2778" w:type="dxa"/>
          </w:tcPr>
          <w:p>
            <w:pPr>
              <w:pStyle w:val="0"/>
            </w:pPr>
            <w:r>
              <w:rPr>
                <w:sz w:val="20"/>
              </w:rPr>
              <w:t xml:space="preserve">&lt;*&gt; код укрупненной группы занятий в соответствии с Общероссийским классификатором занятий ("ОК 010-2014 (МСКЗ-08). Общероссийский классификатор занятий" (принят и введен в действие </w:t>
            </w:r>
            <w:hyperlink w:history="0" r:id="rId107" w:tooltip="&quot;ОК 010-2014 (МСКЗ-08). Общероссийский классификатор занятий&quot; (принят и введен в действие Приказом Росстандарта от 12.12.2014 N 2020-ст) (ред. от 18.02.2021) {КонсультантПлюс}">
              <w:r>
                <w:rPr>
                  <w:sz w:val="20"/>
                  <w:color w:val="0000ff"/>
                </w:rPr>
                <w:t xml:space="preserve">Приказом</w:t>
              </w:r>
            </w:hyperlink>
            <w:r>
              <w:rPr>
                <w:sz w:val="20"/>
              </w:rPr>
              <w:t xml:space="preserve"> Росстандарта от 12.12.2014 N 2020-ст))</w:t>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797" w:type="dxa"/>
          </w:tcPr>
          <w:p>
            <w:pPr>
              <w:pStyle w:val="0"/>
            </w:pPr>
            <w:r>
              <w:rPr>
                <w:sz w:val="20"/>
              </w:rPr>
            </w:r>
          </w:p>
        </w:tc>
      </w:tr>
    </w:tbl>
    <w:p>
      <w:pPr>
        <w:pStyle w:val="0"/>
      </w:pPr>
      <w:r>
        <w:rPr>
          <w:sz w:val="20"/>
        </w:rPr>
      </w:r>
    </w:p>
    <w:p>
      <w:pPr>
        <w:pStyle w:val="2"/>
        <w:outlineLvl w:val="2"/>
        <w:jc w:val="center"/>
      </w:pPr>
      <w:r>
        <w:rPr>
          <w:sz w:val="20"/>
        </w:rPr>
        <w:t xml:space="preserve">Прогноз потребности отраслей экономики Тульской области</w:t>
      </w:r>
    </w:p>
    <w:p>
      <w:pPr>
        <w:pStyle w:val="2"/>
        <w:jc w:val="center"/>
      </w:pPr>
      <w:r>
        <w:rPr>
          <w:sz w:val="20"/>
        </w:rPr>
        <w:t xml:space="preserve">в специалистах различных профессионально-квалификационных</w:t>
      </w:r>
    </w:p>
    <w:p>
      <w:pPr>
        <w:pStyle w:val="2"/>
        <w:jc w:val="center"/>
      </w:pPr>
      <w:r>
        <w:rPr>
          <w:sz w:val="20"/>
        </w:rPr>
        <w:t xml:space="preserve">групп в 2027 году, тыс. человек</w:t>
      </w:r>
    </w:p>
    <w:p>
      <w:pPr>
        <w:pStyle w:val="0"/>
      </w:pPr>
      <w:r>
        <w:rPr>
          <w:sz w:val="20"/>
        </w:rPr>
      </w:r>
    </w:p>
    <w:p>
      <w:pPr>
        <w:pStyle w:val="0"/>
        <w:outlineLvl w:val="3"/>
        <w:jc w:val="right"/>
      </w:pPr>
      <w:r>
        <w:rPr>
          <w:sz w:val="20"/>
        </w:rPr>
        <w:t xml:space="preserve">Таблица 2</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624"/>
        <w:gridCol w:w="680"/>
        <w:gridCol w:w="737"/>
        <w:gridCol w:w="624"/>
        <w:gridCol w:w="737"/>
        <w:gridCol w:w="624"/>
        <w:gridCol w:w="794"/>
        <w:gridCol w:w="624"/>
        <w:gridCol w:w="797"/>
      </w:tblGrid>
      <w:tr>
        <w:tc>
          <w:tcPr>
            <w:tcW w:w="2778" w:type="dxa"/>
            <w:vMerge w:val="restart"/>
          </w:tcPr>
          <w:p>
            <w:pPr>
              <w:pStyle w:val="0"/>
              <w:jc w:val="center"/>
            </w:pPr>
            <w:r>
              <w:rPr>
                <w:sz w:val="20"/>
              </w:rPr>
              <w:t xml:space="preserve">Виды экономической деятельности</w:t>
            </w:r>
          </w:p>
        </w:tc>
        <w:tc>
          <w:tcPr>
            <w:gridSpan w:val="9"/>
            <w:tcW w:w="6241" w:type="dxa"/>
          </w:tcPr>
          <w:p>
            <w:pPr>
              <w:pStyle w:val="0"/>
              <w:jc w:val="center"/>
            </w:pPr>
            <w:r>
              <w:rPr>
                <w:sz w:val="20"/>
              </w:rPr>
              <w:t xml:space="preserve">Группы занятий &lt;*&gt;</w:t>
            </w:r>
          </w:p>
        </w:tc>
      </w:tr>
      <w:tr>
        <w:tc>
          <w:tcPr>
            <w:vMerge w:val="continue"/>
          </w:tcPr>
          <w:p/>
        </w:tc>
        <w:tc>
          <w:tcPr>
            <w:tcW w:w="624" w:type="dxa"/>
          </w:tcPr>
          <w:p>
            <w:pPr>
              <w:pStyle w:val="0"/>
              <w:jc w:val="center"/>
            </w:pPr>
            <w:r>
              <w:rPr>
                <w:sz w:val="20"/>
              </w:rPr>
              <w:t xml:space="preserve">1</w:t>
            </w:r>
          </w:p>
        </w:tc>
        <w:tc>
          <w:tcPr>
            <w:tcW w:w="680" w:type="dxa"/>
          </w:tcPr>
          <w:p>
            <w:pPr>
              <w:pStyle w:val="0"/>
              <w:jc w:val="center"/>
            </w:pPr>
            <w:r>
              <w:rPr>
                <w:sz w:val="20"/>
              </w:rPr>
              <w:t xml:space="preserve">2</w:t>
            </w:r>
          </w:p>
        </w:tc>
        <w:tc>
          <w:tcPr>
            <w:tcW w:w="737" w:type="dxa"/>
          </w:tcPr>
          <w:p>
            <w:pPr>
              <w:pStyle w:val="0"/>
              <w:jc w:val="center"/>
            </w:pPr>
            <w:r>
              <w:rPr>
                <w:sz w:val="20"/>
              </w:rPr>
              <w:t xml:space="preserve">3</w:t>
            </w:r>
          </w:p>
        </w:tc>
        <w:tc>
          <w:tcPr>
            <w:tcW w:w="624" w:type="dxa"/>
          </w:tcPr>
          <w:p>
            <w:pPr>
              <w:pStyle w:val="0"/>
              <w:jc w:val="center"/>
            </w:pPr>
            <w:r>
              <w:rPr>
                <w:sz w:val="20"/>
              </w:rPr>
              <w:t xml:space="preserve">4</w:t>
            </w:r>
          </w:p>
        </w:tc>
        <w:tc>
          <w:tcPr>
            <w:tcW w:w="737" w:type="dxa"/>
          </w:tcPr>
          <w:p>
            <w:pPr>
              <w:pStyle w:val="0"/>
              <w:jc w:val="center"/>
            </w:pPr>
            <w:r>
              <w:rPr>
                <w:sz w:val="20"/>
              </w:rPr>
              <w:t xml:space="preserve">5</w:t>
            </w:r>
          </w:p>
        </w:tc>
        <w:tc>
          <w:tcPr>
            <w:tcW w:w="624" w:type="dxa"/>
          </w:tcPr>
          <w:p>
            <w:pPr>
              <w:pStyle w:val="0"/>
              <w:jc w:val="center"/>
            </w:pPr>
            <w:r>
              <w:rPr>
                <w:sz w:val="20"/>
              </w:rPr>
              <w:t xml:space="preserve">6</w:t>
            </w:r>
          </w:p>
        </w:tc>
        <w:tc>
          <w:tcPr>
            <w:tcW w:w="794" w:type="dxa"/>
          </w:tcPr>
          <w:p>
            <w:pPr>
              <w:pStyle w:val="0"/>
              <w:jc w:val="center"/>
            </w:pPr>
            <w:r>
              <w:rPr>
                <w:sz w:val="20"/>
              </w:rPr>
              <w:t xml:space="preserve">7</w:t>
            </w:r>
          </w:p>
        </w:tc>
        <w:tc>
          <w:tcPr>
            <w:tcW w:w="624" w:type="dxa"/>
          </w:tcPr>
          <w:p>
            <w:pPr>
              <w:pStyle w:val="0"/>
              <w:jc w:val="center"/>
            </w:pPr>
            <w:r>
              <w:rPr>
                <w:sz w:val="20"/>
              </w:rPr>
              <w:t xml:space="preserve">8</w:t>
            </w:r>
          </w:p>
        </w:tc>
        <w:tc>
          <w:tcPr>
            <w:tcW w:w="797" w:type="dxa"/>
          </w:tcPr>
          <w:p>
            <w:pPr>
              <w:pStyle w:val="0"/>
              <w:jc w:val="center"/>
            </w:pPr>
            <w:r>
              <w:rPr>
                <w:sz w:val="20"/>
              </w:rPr>
              <w:t xml:space="preserve">9</w:t>
            </w:r>
          </w:p>
        </w:tc>
      </w:tr>
      <w:tr>
        <w:tc>
          <w:tcPr>
            <w:tcW w:w="2778" w:type="dxa"/>
          </w:tcPr>
          <w:p>
            <w:pPr>
              <w:pStyle w:val="0"/>
            </w:pPr>
            <w:r>
              <w:rPr>
                <w:sz w:val="20"/>
              </w:rPr>
              <w:t xml:space="preserve">Сельское, лесное хозяйство, охота, рыболовство и рыбоводство</w:t>
            </w:r>
          </w:p>
        </w:tc>
        <w:tc>
          <w:tcPr>
            <w:tcW w:w="624" w:type="dxa"/>
          </w:tcPr>
          <w:p>
            <w:pPr>
              <w:pStyle w:val="0"/>
              <w:jc w:val="center"/>
            </w:pPr>
            <w:r>
              <w:rPr>
                <w:sz w:val="20"/>
              </w:rPr>
              <w:t xml:space="preserve">2,9</w:t>
            </w:r>
          </w:p>
        </w:tc>
        <w:tc>
          <w:tcPr>
            <w:tcW w:w="680" w:type="dxa"/>
          </w:tcPr>
          <w:p>
            <w:pPr>
              <w:pStyle w:val="0"/>
              <w:jc w:val="center"/>
            </w:pPr>
            <w:r>
              <w:rPr>
                <w:sz w:val="20"/>
              </w:rPr>
              <w:t xml:space="preserve">4,3</w:t>
            </w:r>
          </w:p>
        </w:tc>
        <w:tc>
          <w:tcPr>
            <w:tcW w:w="737" w:type="dxa"/>
          </w:tcPr>
          <w:p>
            <w:pPr>
              <w:pStyle w:val="0"/>
              <w:jc w:val="center"/>
            </w:pPr>
            <w:r>
              <w:rPr>
                <w:sz w:val="20"/>
              </w:rPr>
              <w:t xml:space="preserve">2,0</w:t>
            </w:r>
          </w:p>
        </w:tc>
        <w:tc>
          <w:tcPr>
            <w:tcW w:w="624" w:type="dxa"/>
          </w:tcPr>
          <w:p>
            <w:pPr>
              <w:pStyle w:val="0"/>
              <w:jc w:val="center"/>
            </w:pPr>
            <w:r>
              <w:rPr>
                <w:sz w:val="20"/>
              </w:rPr>
              <w:t xml:space="preserve">1,5</w:t>
            </w:r>
          </w:p>
        </w:tc>
        <w:tc>
          <w:tcPr>
            <w:tcW w:w="737" w:type="dxa"/>
          </w:tcPr>
          <w:p>
            <w:pPr>
              <w:pStyle w:val="0"/>
              <w:jc w:val="center"/>
            </w:pPr>
            <w:r>
              <w:rPr>
                <w:sz w:val="20"/>
              </w:rPr>
              <w:t xml:space="preserve">2,0</w:t>
            </w:r>
          </w:p>
        </w:tc>
        <w:tc>
          <w:tcPr>
            <w:tcW w:w="624" w:type="dxa"/>
          </w:tcPr>
          <w:p>
            <w:pPr>
              <w:pStyle w:val="0"/>
              <w:jc w:val="center"/>
            </w:pPr>
            <w:r>
              <w:rPr>
                <w:sz w:val="20"/>
              </w:rPr>
              <w:t xml:space="preserve">6,8</w:t>
            </w:r>
          </w:p>
        </w:tc>
        <w:tc>
          <w:tcPr>
            <w:tcW w:w="794" w:type="dxa"/>
          </w:tcPr>
          <w:p>
            <w:pPr>
              <w:pStyle w:val="0"/>
              <w:jc w:val="center"/>
            </w:pPr>
            <w:r>
              <w:rPr>
                <w:sz w:val="20"/>
              </w:rPr>
              <w:t xml:space="preserve">3,6</w:t>
            </w:r>
          </w:p>
        </w:tc>
        <w:tc>
          <w:tcPr>
            <w:tcW w:w="624" w:type="dxa"/>
          </w:tcPr>
          <w:p>
            <w:pPr>
              <w:pStyle w:val="0"/>
              <w:jc w:val="center"/>
            </w:pPr>
            <w:r>
              <w:rPr>
                <w:sz w:val="20"/>
              </w:rPr>
              <w:t xml:space="preserve">10,4</w:t>
            </w:r>
          </w:p>
        </w:tc>
        <w:tc>
          <w:tcPr>
            <w:tcW w:w="797" w:type="dxa"/>
          </w:tcPr>
          <w:p>
            <w:pPr>
              <w:pStyle w:val="0"/>
              <w:jc w:val="center"/>
            </w:pPr>
            <w:r>
              <w:rPr>
                <w:sz w:val="20"/>
              </w:rPr>
              <w:t xml:space="preserve">6,9</w:t>
            </w:r>
          </w:p>
        </w:tc>
      </w:tr>
      <w:tr>
        <w:tc>
          <w:tcPr>
            <w:tcW w:w="2778" w:type="dxa"/>
          </w:tcPr>
          <w:p>
            <w:pPr>
              <w:pStyle w:val="0"/>
            </w:pPr>
            <w:r>
              <w:rPr>
                <w:sz w:val="20"/>
              </w:rPr>
              <w:t xml:space="preserve">Добыча полезных ископаемых</w:t>
            </w:r>
          </w:p>
        </w:tc>
        <w:tc>
          <w:tcPr>
            <w:tcW w:w="624" w:type="dxa"/>
          </w:tcPr>
          <w:p>
            <w:pPr>
              <w:pStyle w:val="0"/>
              <w:jc w:val="center"/>
            </w:pPr>
            <w:r>
              <w:rPr>
                <w:sz w:val="20"/>
              </w:rPr>
              <w:t xml:space="preserve">0,2</w:t>
            </w:r>
          </w:p>
        </w:tc>
        <w:tc>
          <w:tcPr>
            <w:tcW w:w="680" w:type="dxa"/>
          </w:tcPr>
          <w:p>
            <w:pPr>
              <w:pStyle w:val="0"/>
              <w:jc w:val="center"/>
            </w:pPr>
            <w:r>
              <w:rPr>
                <w:sz w:val="20"/>
              </w:rPr>
              <w:t xml:space="preserve">0,1</w:t>
            </w:r>
          </w:p>
        </w:tc>
        <w:tc>
          <w:tcPr>
            <w:tcW w:w="737" w:type="dxa"/>
          </w:tcPr>
          <w:p>
            <w:pPr>
              <w:pStyle w:val="0"/>
              <w:jc w:val="center"/>
            </w:pPr>
            <w:r>
              <w:rPr>
                <w:sz w:val="20"/>
              </w:rPr>
              <w:t xml:space="preserve">0,2</w:t>
            </w:r>
          </w:p>
        </w:tc>
        <w:tc>
          <w:tcPr>
            <w:tcW w:w="624" w:type="dxa"/>
          </w:tcPr>
          <w:p>
            <w:pPr>
              <w:pStyle w:val="0"/>
              <w:jc w:val="center"/>
            </w:pPr>
            <w:r>
              <w:rPr>
                <w:sz w:val="20"/>
              </w:rPr>
              <w:t xml:space="preserve">0,1</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1,1</w:t>
            </w:r>
          </w:p>
        </w:tc>
        <w:tc>
          <w:tcPr>
            <w:tcW w:w="797" w:type="dxa"/>
          </w:tcPr>
          <w:p>
            <w:pPr>
              <w:pStyle w:val="0"/>
              <w:jc w:val="center"/>
            </w:pPr>
            <w:r>
              <w:rPr>
                <w:sz w:val="20"/>
              </w:rPr>
              <w:t xml:space="preserve">0,1</w:t>
            </w:r>
          </w:p>
        </w:tc>
      </w:tr>
      <w:tr>
        <w:tc>
          <w:tcPr>
            <w:tcW w:w="2778" w:type="dxa"/>
          </w:tcPr>
          <w:p>
            <w:pPr>
              <w:pStyle w:val="0"/>
            </w:pPr>
            <w:r>
              <w:rPr>
                <w:sz w:val="20"/>
              </w:rPr>
              <w:t xml:space="preserve">Обрабатывающие производства</w:t>
            </w:r>
          </w:p>
        </w:tc>
        <w:tc>
          <w:tcPr>
            <w:tcW w:w="624" w:type="dxa"/>
          </w:tcPr>
          <w:p>
            <w:pPr>
              <w:pStyle w:val="0"/>
              <w:jc w:val="center"/>
            </w:pPr>
            <w:r>
              <w:rPr>
                <w:sz w:val="20"/>
              </w:rPr>
              <w:t xml:space="preserve">15,5</w:t>
            </w:r>
          </w:p>
        </w:tc>
        <w:tc>
          <w:tcPr>
            <w:tcW w:w="680" w:type="dxa"/>
          </w:tcPr>
          <w:p>
            <w:pPr>
              <w:pStyle w:val="0"/>
              <w:jc w:val="center"/>
            </w:pPr>
            <w:r>
              <w:rPr>
                <w:sz w:val="20"/>
              </w:rPr>
              <w:t xml:space="preserve">24,4</w:t>
            </w:r>
          </w:p>
        </w:tc>
        <w:tc>
          <w:tcPr>
            <w:tcW w:w="737" w:type="dxa"/>
          </w:tcPr>
          <w:p>
            <w:pPr>
              <w:pStyle w:val="0"/>
              <w:jc w:val="center"/>
            </w:pPr>
            <w:r>
              <w:rPr>
                <w:sz w:val="20"/>
              </w:rPr>
              <w:t xml:space="preserve">14,3</w:t>
            </w:r>
          </w:p>
        </w:tc>
        <w:tc>
          <w:tcPr>
            <w:tcW w:w="624" w:type="dxa"/>
          </w:tcPr>
          <w:p>
            <w:pPr>
              <w:pStyle w:val="0"/>
              <w:jc w:val="center"/>
            </w:pPr>
            <w:r>
              <w:rPr>
                <w:sz w:val="20"/>
              </w:rPr>
              <w:t xml:space="preserve">6,9</w:t>
            </w:r>
          </w:p>
        </w:tc>
        <w:tc>
          <w:tcPr>
            <w:tcW w:w="737" w:type="dxa"/>
          </w:tcPr>
          <w:p>
            <w:pPr>
              <w:pStyle w:val="0"/>
              <w:jc w:val="center"/>
            </w:pPr>
            <w:r>
              <w:rPr>
                <w:sz w:val="20"/>
              </w:rPr>
              <w:t xml:space="preserve">3,5</w:t>
            </w:r>
          </w:p>
        </w:tc>
        <w:tc>
          <w:tcPr>
            <w:tcW w:w="624" w:type="dxa"/>
          </w:tcPr>
          <w:p>
            <w:pPr>
              <w:pStyle w:val="0"/>
              <w:jc w:val="center"/>
            </w:pPr>
            <w:r>
              <w:rPr>
                <w:sz w:val="20"/>
              </w:rPr>
              <w:t xml:space="preserve">0,2</w:t>
            </w:r>
          </w:p>
        </w:tc>
        <w:tc>
          <w:tcPr>
            <w:tcW w:w="794" w:type="dxa"/>
          </w:tcPr>
          <w:p>
            <w:pPr>
              <w:pStyle w:val="0"/>
              <w:jc w:val="center"/>
            </w:pPr>
            <w:r>
              <w:rPr>
                <w:sz w:val="20"/>
              </w:rPr>
              <w:t xml:space="preserve">55,5</w:t>
            </w:r>
          </w:p>
        </w:tc>
        <w:tc>
          <w:tcPr>
            <w:tcW w:w="624" w:type="dxa"/>
          </w:tcPr>
          <w:p>
            <w:pPr>
              <w:pStyle w:val="0"/>
              <w:jc w:val="center"/>
            </w:pPr>
            <w:r>
              <w:rPr>
                <w:sz w:val="20"/>
              </w:rPr>
              <w:t xml:space="preserve">34,3</w:t>
            </w:r>
          </w:p>
        </w:tc>
        <w:tc>
          <w:tcPr>
            <w:tcW w:w="797" w:type="dxa"/>
          </w:tcPr>
          <w:p>
            <w:pPr>
              <w:pStyle w:val="0"/>
              <w:jc w:val="center"/>
            </w:pPr>
            <w:r>
              <w:rPr>
                <w:sz w:val="20"/>
              </w:rPr>
              <w:t xml:space="preserve">15,0</w:t>
            </w:r>
          </w:p>
        </w:tc>
      </w:tr>
      <w:tr>
        <w:tc>
          <w:tcPr>
            <w:tcW w:w="2778" w:type="dxa"/>
          </w:tcPr>
          <w:p>
            <w:pPr>
              <w:pStyle w:val="0"/>
            </w:pPr>
            <w:r>
              <w:rPr>
                <w:sz w:val="20"/>
              </w:rPr>
              <w:t xml:space="preserve">Обеспечение электроэнергией, газом и паром; кондиционирование воздуха</w:t>
            </w:r>
          </w:p>
        </w:tc>
        <w:tc>
          <w:tcPr>
            <w:tcW w:w="624" w:type="dxa"/>
          </w:tcPr>
          <w:p>
            <w:pPr>
              <w:pStyle w:val="0"/>
              <w:jc w:val="center"/>
            </w:pPr>
            <w:r>
              <w:rPr>
                <w:sz w:val="20"/>
              </w:rPr>
              <w:t xml:space="preserve">1,4</w:t>
            </w:r>
          </w:p>
        </w:tc>
        <w:tc>
          <w:tcPr>
            <w:tcW w:w="680" w:type="dxa"/>
          </w:tcPr>
          <w:p>
            <w:pPr>
              <w:pStyle w:val="0"/>
              <w:jc w:val="center"/>
            </w:pPr>
            <w:r>
              <w:rPr>
                <w:sz w:val="20"/>
              </w:rPr>
              <w:t xml:space="preserve">2,9</w:t>
            </w:r>
          </w:p>
        </w:tc>
        <w:tc>
          <w:tcPr>
            <w:tcW w:w="737" w:type="dxa"/>
          </w:tcPr>
          <w:p>
            <w:pPr>
              <w:pStyle w:val="0"/>
              <w:jc w:val="center"/>
            </w:pPr>
            <w:r>
              <w:rPr>
                <w:sz w:val="20"/>
              </w:rPr>
              <w:t xml:space="preserve">1,9</w:t>
            </w:r>
          </w:p>
        </w:tc>
        <w:tc>
          <w:tcPr>
            <w:tcW w:w="624" w:type="dxa"/>
          </w:tcPr>
          <w:p>
            <w:pPr>
              <w:pStyle w:val="0"/>
              <w:jc w:val="center"/>
            </w:pPr>
            <w:r>
              <w:rPr>
                <w:sz w:val="20"/>
              </w:rPr>
              <w:t xml:space="preserve">0,6</w:t>
            </w:r>
          </w:p>
        </w:tc>
        <w:tc>
          <w:tcPr>
            <w:tcW w:w="737" w:type="dxa"/>
          </w:tcPr>
          <w:p>
            <w:pPr>
              <w:pStyle w:val="0"/>
              <w:jc w:val="center"/>
            </w:pPr>
            <w:r>
              <w:rPr>
                <w:sz w:val="20"/>
              </w:rPr>
              <w:t xml:space="preserve">0,2</w:t>
            </w:r>
          </w:p>
        </w:tc>
        <w:tc>
          <w:tcPr>
            <w:tcW w:w="624" w:type="dxa"/>
          </w:tcPr>
          <w:p>
            <w:pPr>
              <w:pStyle w:val="0"/>
              <w:jc w:val="center"/>
            </w:pPr>
            <w:r>
              <w:rPr>
                <w:sz w:val="20"/>
              </w:rPr>
              <w:t xml:space="preserve">0,0</w:t>
            </w:r>
          </w:p>
        </w:tc>
        <w:tc>
          <w:tcPr>
            <w:tcW w:w="794" w:type="dxa"/>
          </w:tcPr>
          <w:p>
            <w:pPr>
              <w:pStyle w:val="0"/>
              <w:jc w:val="center"/>
            </w:pPr>
            <w:r>
              <w:rPr>
                <w:sz w:val="20"/>
              </w:rPr>
              <w:t xml:space="preserve">5,7</w:t>
            </w:r>
          </w:p>
        </w:tc>
        <w:tc>
          <w:tcPr>
            <w:tcW w:w="624" w:type="dxa"/>
          </w:tcPr>
          <w:p>
            <w:pPr>
              <w:pStyle w:val="0"/>
              <w:jc w:val="center"/>
            </w:pPr>
            <w:r>
              <w:rPr>
                <w:sz w:val="20"/>
              </w:rPr>
              <w:t xml:space="preserve">4,1</w:t>
            </w:r>
          </w:p>
        </w:tc>
        <w:tc>
          <w:tcPr>
            <w:tcW w:w="797" w:type="dxa"/>
          </w:tcPr>
          <w:p>
            <w:pPr>
              <w:pStyle w:val="0"/>
              <w:jc w:val="center"/>
            </w:pPr>
            <w:r>
              <w:rPr>
                <w:sz w:val="20"/>
              </w:rPr>
              <w:t xml:space="preserve">0,4</w:t>
            </w:r>
          </w:p>
        </w:tc>
      </w:tr>
      <w:tr>
        <w:tc>
          <w:tcPr>
            <w:tcW w:w="2778" w:type="dxa"/>
          </w:tcPr>
          <w:p>
            <w:pPr>
              <w:pStyle w:val="0"/>
            </w:pPr>
            <w:r>
              <w:rPr>
                <w:sz w:val="20"/>
              </w:rPr>
              <w:t xml:space="preserve">Водоснабжение; водоотведение, организация сбора и утилизации отходов, деятельность по ликвидации загрязнений</w:t>
            </w:r>
          </w:p>
        </w:tc>
        <w:tc>
          <w:tcPr>
            <w:tcW w:w="624" w:type="dxa"/>
          </w:tcPr>
          <w:p>
            <w:pPr>
              <w:pStyle w:val="0"/>
              <w:jc w:val="center"/>
            </w:pPr>
            <w:r>
              <w:rPr>
                <w:sz w:val="20"/>
              </w:rPr>
              <w:t xml:space="preserve">0,7</w:t>
            </w:r>
          </w:p>
        </w:tc>
        <w:tc>
          <w:tcPr>
            <w:tcW w:w="680" w:type="dxa"/>
          </w:tcPr>
          <w:p>
            <w:pPr>
              <w:pStyle w:val="0"/>
              <w:jc w:val="center"/>
            </w:pPr>
            <w:r>
              <w:rPr>
                <w:sz w:val="20"/>
              </w:rPr>
              <w:t xml:space="preserve">0,9</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0,0</w:t>
            </w:r>
          </w:p>
        </w:tc>
        <w:tc>
          <w:tcPr>
            <w:tcW w:w="624" w:type="dxa"/>
          </w:tcPr>
          <w:p>
            <w:pPr>
              <w:pStyle w:val="0"/>
              <w:jc w:val="center"/>
            </w:pPr>
            <w:r>
              <w:rPr>
                <w:sz w:val="20"/>
              </w:rPr>
              <w:t xml:space="preserve">0,0</w:t>
            </w:r>
          </w:p>
        </w:tc>
        <w:tc>
          <w:tcPr>
            <w:tcW w:w="794" w:type="dxa"/>
          </w:tcPr>
          <w:p>
            <w:pPr>
              <w:pStyle w:val="0"/>
              <w:jc w:val="center"/>
            </w:pPr>
            <w:r>
              <w:rPr>
                <w:sz w:val="20"/>
              </w:rPr>
              <w:t xml:space="preserve">1,9</w:t>
            </w:r>
          </w:p>
        </w:tc>
        <w:tc>
          <w:tcPr>
            <w:tcW w:w="624" w:type="dxa"/>
          </w:tcPr>
          <w:p>
            <w:pPr>
              <w:pStyle w:val="0"/>
              <w:jc w:val="center"/>
            </w:pPr>
            <w:r>
              <w:rPr>
                <w:sz w:val="20"/>
              </w:rPr>
              <w:t xml:space="preserve">1,9</w:t>
            </w:r>
          </w:p>
        </w:tc>
        <w:tc>
          <w:tcPr>
            <w:tcW w:w="797" w:type="dxa"/>
          </w:tcPr>
          <w:p>
            <w:pPr>
              <w:pStyle w:val="0"/>
              <w:jc w:val="center"/>
            </w:pPr>
            <w:r>
              <w:rPr>
                <w:sz w:val="20"/>
              </w:rPr>
              <w:t xml:space="preserve">0,4</w:t>
            </w:r>
          </w:p>
        </w:tc>
      </w:tr>
      <w:tr>
        <w:tc>
          <w:tcPr>
            <w:tcW w:w="2778" w:type="dxa"/>
          </w:tcPr>
          <w:p>
            <w:pPr>
              <w:pStyle w:val="0"/>
            </w:pPr>
            <w:r>
              <w:rPr>
                <w:sz w:val="20"/>
              </w:rPr>
              <w:t xml:space="preserve">Строительство</w:t>
            </w:r>
          </w:p>
        </w:tc>
        <w:tc>
          <w:tcPr>
            <w:tcW w:w="624" w:type="dxa"/>
          </w:tcPr>
          <w:p>
            <w:pPr>
              <w:pStyle w:val="0"/>
              <w:jc w:val="center"/>
            </w:pPr>
            <w:r>
              <w:rPr>
                <w:sz w:val="20"/>
              </w:rPr>
              <w:t xml:space="preserve">9,0</w:t>
            </w:r>
          </w:p>
        </w:tc>
        <w:tc>
          <w:tcPr>
            <w:tcW w:w="680" w:type="dxa"/>
          </w:tcPr>
          <w:p>
            <w:pPr>
              <w:pStyle w:val="0"/>
              <w:jc w:val="center"/>
            </w:pPr>
            <w:r>
              <w:rPr>
                <w:sz w:val="20"/>
              </w:rPr>
              <w:t xml:space="preserve">10,7</w:t>
            </w:r>
          </w:p>
        </w:tc>
        <w:tc>
          <w:tcPr>
            <w:tcW w:w="737" w:type="dxa"/>
          </w:tcPr>
          <w:p>
            <w:pPr>
              <w:pStyle w:val="0"/>
              <w:jc w:val="center"/>
            </w:pPr>
            <w:r>
              <w:rPr>
                <w:sz w:val="20"/>
              </w:rPr>
              <w:t xml:space="preserve">5,5</w:t>
            </w:r>
          </w:p>
        </w:tc>
        <w:tc>
          <w:tcPr>
            <w:tcW w:w="624" w:type="dxa"/>
          </w:tcPr>
          <w:p>
            <w:pPr>
              <w:pStyle w:val="0"/>
              <w:jc w:val="center"/>
            </w:pPr>
            <w:r>
              <w:rPr>
                <w:sz w:val="20"/>
              </w:rPr>
              <w:t xml:space="preserve">1,2</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18,9</w:t>
            </w:r>
          </w:p>
        </w:tc>
        <w:tc>
          <w:tcPr>
            <w:tcW w:w="624" w:type="dxa"/>
          </w:tcPr>
          <w:p>
            <w:pPr>
              <w:pStyle w:val="0"/>
              <w:jc w:val="center"/>
            </w:pPr>
            <w:r>
              <w:rPr>
                <w:sz w:val="20"/>
              </w:rPr>
              <w:t xml:space="preserve">10,2</w:t>
            </w:r>
          </w:p>
        </w:tc>
        <w:tc>
          <w:tcPr>
            <w:tcW w:w="797" w:type="dxa"/>
          </w:tcPr>
          <w:p>
            <w:pPr>
              <w:pStyle w:val="0"/>
              <w:jc w:val="center"/>
            </w:pPr>
            <w:r>
              <w:rPr>
                <w:sz w:val="20"/>
              </w:rPr>
              <w:t xml:space="preserve">4,3</w:t>
            </w:r>
          </w:p>
        </w:tc>
      </w:tr>
      <w:tr>
        <w:tc>
          <w:tcPr>
            <w:tcW w:w="2778" w:type="dxa"/>
          </w:tcPr>
          <w:p>
            <w:pPr>
              <w:pStyle w:val="0"/>
            </w:pPr>
            <w:r>
              <w:rPr>
                <w:sz w:val="20"/>
              </w:rPr>
              <w:t xml:space="preserve">Торговля оптовая и розничная; ремонт автотранспортных средств и мотоциклов</w:t>
            </w:r>
          </w:p>
        </w:tc>
        <w:tc>
          <w:tcPr>
            <w:tcW w:w="624" w:type="dxa"/>
          </w:tcPr>
          <w:p>
            <w:pPr>
              <w:pStyle w:val="0"/>
              <w:jc w:val="center"/>
            </w:pPr>
            <w:r>
              <w:rPr>
                <w:sz w:val="20"/>
              </w:rPr>
              <w:t xml:space="preserve">17,1</w:t>
            </w:r>
          </w:p>
        </w:tc>
        <w:tc>
          <w:tcPr>
            <w:tcW w:w="680" w:type="dxa"/>
          </w:tcPr>
          <w:p>
            <w:pPr>
              <w:pStyle w:val="0"/>
              <w:jc w:val="center"/>
            </w:pPr>
            <w:r>
              <w:rPr>
                <w:sz w:val="20"/>
              </w:rPr>
              <w:t xml:space="preserve">12,5</w:t>
            </w:r>
          </w:p>
        </w:tc>
        <w:tc>
          <w:tcPr>
            <w:tcW w:w="737" w:type="dxa"/>
          </w:tcPr>
          <w:p>
            <w:pPr>
              <w:pStyle w:val="0"/>
              <w:jc w:val="center"/>
            </w:pPr>
            <w:r>
              <w:rPr>
                <w:sz w:val="20"/>
              </w:rPr>
              <w:t xml:space="preserve">15,4</w:t>
            </w:r>
          </w:p>
        </w:tc>
        <w:tc>
          <w:tcPr>
            <w:tcW w:w="624" w:type="dxa"/>
          </w:tcPr>
          <w:p>
            <w:pPr>
              <w:pStyle w:val="0"/>
              <w:jc w:val="center"/>
            </w:pPr>
            <w:r>
              <w:rPr>
                <w:sz w:val="20"/>
              </w:rPr>
              <w:t xml:space="preserve">3,2</w:t>
            </w:r>
          </w:p>
        </w:tc>
        <w:tc>
          <w:tcPr>
            <w:tcW w:w="737" w:type="dxa"/>
          </w:tcPr>
          <w:p>
            <w:pPr>
              <w:pStyle w:val="0"/>
              <w:jc w:val="center"/>
            </w:pPr>
            <w:r>
              <w:rPr>
                <w:sz w:val="20"/>
              </w:rPr>
              <w:t xml:space="preserve">49,2</w:t>
            </w:r>
          </w:p>
        </w:tc>
        <w:tc>
          <w:tcPr>
            <w:tcW w:w="624" w:type="dxa"/>
          </w:tcPr>
          <w:p>
            <w:pPr>
              <w:pStyle w:val="0"/>
              <w:jc w:val="center"/>
            </w:pPr>
            <w:r>
              <w:rPr>
                <w:sz w:val="20"/>
              </w:rPr>
              <w:t xml:space="preserve">0,1</w:t>
            </w:r>
          </w:p>
        </w:tc>
        <w:tc>
          <w:tcPr>
            <w:tcW w:w="794" w:type="dxa"/>
          </w:tcPr>
          <w:p>
            <w:pPr>
              <w:pStyle w:val="0"/>
              <w:jc w:val="center"/>
            </w:pPr>
            <w:r>
              <w:rPr>
                <w:sz w:val="20"/>
              </w:rPr>
              <w:t xml:space="preserve">9,8</w:t>
            </w:r>
          </w:p>
        </w:tc>
        <w:tc>
          <w:tcPr>
            <w:tcW w:w="624" w:type="dxa"/>
          </w:tcPr>
          <w:p>
            <w:pPr>
              <w:pStyle w:val="0"/>
              <w:jc w:val="center"/>
            </w:pPr>
            <w:r>
              <w:rPr>
                <w:sz w:val="20"/>
              </w:rPr>
              <w:t xml:space="preserve">7,3</w:t>
            </w:r>
          </w:p>
        </w:tc>
        <w:tc>
          <w:tcPr>
            <w:tcW w:w="797" w:type="dxa"/>
          </w:tcPr>
          <w:p>
            <w:pPr>
              <w:pStyle w:val="0"/>
              <w:jc w:val="center"/>
            </w:pPr>
            <w:r>
              <w:rPr>
                <w:sz w:val="20"/>
              </w:rPr>
              <w:t xml:space="preserve">10,2</w:t>
            </w:r>
          </w:p>
        </w:tc>
      </w:tr>
      <w:tr>
        <w:tc>
          <w:tcPr>
            <w:tcW w:w="2778" w:type="dxa"/>
          </w:tcPr>
          <w:p>
            <w:pPr>
              <w:pStyle w:val="0"/>
            </w:pPr>
            <w:r>
              <w:rPr>
                <w:sz w:val="20"/>
              </w:rPr>
              <w:t xml:space="preserve">Транспортировка и хранение</w:t>
            </w:r>
          </w:p>
        </w:tc>
        <w:tc>
          <w:tcPr>
            <w:tcW w:w="624" w:type="dxa"/>
          </w:tcPr>
          <w:p>
            <w:pPr>
              <w:pStyle w:val="0"/>
              <w:jc w:val="center"/>
            </w:pPr>
            <w:r>
              <w:rPr>
                <w:sz w:val="20"/>
              </w:rPr>
              <w:t xml:space="preserve">2,6</w:t>
            </w:r>
          </w:p>
        </w:tc>
        <w:tc>
          <w:tcPr>
            <w:tcW w:w="680" w:type="dxa"/>
          </w:tcPr>
          <w:p>
            <w:pPr>
              <w:pStyle w:val="0"/>
              <w:jc w:val="center"/>
            </w:pPr>
            <w:r>
              <w:rPr>
                <w:sz w:val="20"/>
              </w:rPr>
              <w:t xml:space="preserve">2,5</w:t>
            </w:r>
          </w:p>
        </w:tc>
        <w:tc>
          <w:tcPr>
            <w:tcW w:w="737" w:type="dxa"/>
          </w:tcPr>
          <w:p>
            <w:pPr>
              <w:pStyle w:val="0"/>
              <w:jc w:val="center"/>
            </w:pPr>
            <w:r>
              <w:rPr>
                <w:sz w:val="20"/>
              </w:rPr>
              <w:t xml:space="preserve">2,5</w:t>
            </w:r>
          </w:p>
        </w:tc>
        <w:tc>
          <w:tcPr>
            <w:tcW w:w="624" w:type="dxa"/>
          </w:tcPr>
          <w:p>
            <w:pPr>
              <w:pStyle w:val="0"/>
              <w:jc w:val="center"/>
            </w:pPr>
            <w:r>
              <w:rPr>
                <w:sz w:val="20"/>
              </w:rPr>
              <w:t xml:space="preserve">18,4</w:t>
            </w:r>
          </w:p>
        </w:tc>
        <w:tc>
          <w:tcPr>
            <w:tcW w:w="737" w:type="dxa"/>
          </w:tcPr>
          <w:p>
            <w:pPr>
              <w:pStyle w:val="0"/>
              <w:jc w:val="center"/>
            </w:pPr>
            <w:r>
              <w:rPr>
                <w:sz w:val="20"/>
              </w:rPr>
              <w:t xml:space="preserve">4,1</w:t>
            </w:r>
          </w:p>
        </w:tc>
        <w:tc>
          <w:tcPr>
            <w:tcW w:w="624" w:type="dxa"/>
          </w:tcPr>
          <w:p>
            <w:pPr>
              <w:pStyle w:val="0"/>
              <w:jc w:val="center"/>
            </w:pPr>
            <w:r>
              <w:rPr>
                <w:sz w:val="20"/>
              </w:rPr>
              <w:t xml:space="preserve">0,0</w:t>
            </w:r>
          </w:p>
        </w:tc>
        <w:tc>
          <w:tcPr>
            <w:tcW w:w="794" w:type="dxa"/>
          </w:tcPr>
          <w:p>
            <w:pPr>
              <w:pStyle w:val="0"/>
              <w:jc w:val="center"/>
            </w:pPr>
            <w:r>
              <w:rPr>
                <w:sz w:val="20"/>
              </w:rPr>
              <w:t xml:space="preserve">6,0</w:t>
            </w:r>
          </w:p>
        </w:tc>
        <w:tc>
          <w:tcPr>
            <w:tcW w:w="624" w:type="dxa"/>
          </w:tcPr>
          <w:p>
            <w:pPr>
              <w:pStyle w:val="0"/>
              <w:jc w:val="center"/>
            </w:pPr>
            <w:r>
              <w:rPr>
                <w:sz w:val="20"/>
              </w:rPr>
              <w:t xml:space="preserve">17,3</w:t>
            </w:r>
          </w:p>
        </w:tc>
        <w:tc>
          <w:tcPr>
            <w:tcW w:w="797" w:type="dxa"/>
          </w:tcPr>
          <w:p>
            <w:pPr>
              <w:pStyle w:val="0"/>
              <w:jc w:val="center"/>
            </w:pPr>
            <w:r>
              <w:rPr>
                <w:sz w:val="20"/>
              </w:rPr>
              <w:t xml:space="preserve">3,1</w:t>
            </w:r>
          </w:p>
        </w:tc>
      </w:tr>
      <w:tr>
        <w:tc>
          <w:tcPr>
            <w:tcW w:w="2778" w:type="dxa"/>
          </w:tcPr>
          <w:p>
            <w:pPr>
              <w:pStyle w:val="0"/>
            </w:pPr>
            <w:r>
              <w:rPr>
                <w:sz w:val="20"/>
              </w:rPr>
              <w:t xml:space="preserve">Деятельность гостиниц и предприятий общественного питания</w:t>
            </w:r>
          </w:p>
        </w:tc>
        <w:tc>
          <w:tcPr>
            <w:tcW w:w="624" w:type="dxa"/>
          </w:tcPr>
          <w:p>
            <w:pPr>
              <w:pStyle w:val="0"/>
              <w:jc w:val="center"/>
            </w:pPr>
            <w:r>
              <w:rPr>
                <w:sz w:val="20"/>
              </w:rPr>
              <w:t xml:space="preserve">1,8</w:t>
            </w:r>
          </w:p>
        </w:tc>
        <w:tc>
          <w:tcPr>
            <w:tcW w:w="680" w:type="dxa"/>
          </w:tcPr>
          <w:p>
            <w:pPr>
              <w:pStyle w:val="0"/>
              <w:jc w:val="center"/>
            </w:pPr>
            <w:r>
              <w:rPr>
                <w:sz w:val="20"/>
              </w:rPr>
              <w:t xml:space="preserve">1,4</w:t>
            </w:r>
          </w:p>
        </w:tc>
        <w:tc>
          <w:tcPr>
            <w:tcW w:w="737" w:type="dxa"/>
          </w:tcPr>
          <w:p>
            <w:pPr>
              <w:pStyle w:val="0"/>
              <w:jc w:val="center"/>
            </w:pPr>
            <w:r>
              <w:rPr>
                <w:sz w:val="20"/>
              </w:rPr>
              <w:t xml:space="preserve">3,1</w:t>
            </w:r>
          </w:p>
        </w:tc>
        <w:tc>
          <w:tcPr>
            <w:tcW w:w="624" w:type="dxa"/>
          </w:tcPr>
          <w:p>
            <w:pPr>
              <w:pStyle w:val="0"/>
              <w:jc w:val="center"/>
            </w:pPr>
            <w:r>
              <w:rPr>
                <w:sz w:val="20"/>
              </w:rPr>
              <w:t xml:space="preserve">0,3</w:t>
            </w:r>
          </w:p>
        </w:tc>
        <w:tc>
          <w:tcPr>
            <w:tcW w:w="737" w:type="dxa"/>
          </w:tcPr>
          <w:p>
            <w:pPr>
              <w:pStyle w:val="0"/>
              <w:jc w:val="center"/>
            </w:pPr>
            <w:r>
              <w:rPr>
                <w:sz w:val="20"/>
              </w:rPr>
              <w:t xml:space="preserve">8,2</w:t>
            </w:r>
          </w:p>
        </w:tc>
        <w:tc>
          <w:tcPr>
            <w:tcW w:w="624" w:type="dxa"/>
          </w:tcPr>
          <w:p>
            <w:pPr>
              <w:pStyle w:val="0"/>
              <w:jc w:val="center"/>
            </w:pPr>
            <w:r>
              <w:rPr>
                <w:sz w:val="20"/>
              </w:rPr>
              <w:t xml:space="preserve">0,1</w:t>
            </w:r>
          </w:p>
        </w:tc>
        <w:tc>
          <w:tcPr>
            <w:tcW w:w="794" w:type="dxa"/>
          </w:tcPr>
          <w:p>
            <w:pPr>
              <w:pStyle w:val="0"/>
              <w:jc w:val="center"/>
            </w:pPr>
            <w:r>
              <w:rPr>
                <w:sz w:val="20"/>
              </w:rPr>
              <w:t xml:space="preserve">1,1</w:t>
            </w:r>
          </w:p>
        </w:tc>
        <w:tc>
          <w:tcPr>
            <w:tcW w:w="624" w:type="dxa"/>
          </w:tcPr>
          <w:p>
            <w:pPr>
              <w:pStyle w:val="0"/>
              <w:jc w:val="center"/>
            </w:pPr>
            <w:r>
              <w:rPr>
                <w:sz w:val="20"/>
              </w:rPr>
              <w:t xml:space="preserve">0,4</w:t>
            </w:r>
          </w:p>
        </w:tc>
        <w:tc>
          <w:tcPr>
            <w:tcW w:w="797" w:type="dxa"/>
          </w:tcPr>
          <w:p>
            <w:pPr>
              <w:pStyle w:val="0"/>
              <w:jc w:val="center"/>
            </w:pPr>
            <w:r>
              <w:rPr>
                <w:sz w:val="20"/>
              </w:rPr>
              <w:t xml:space="preserve">3,7</w:t>
            </w:r>
          </w:p>
        </w:tc>
      </w:tr>
      <w:tr>
        <w:tc>
          <w:tcPr>
            <w:tcW w:w="2778" w:type="dxa"/>
          </w:tcPr>
          <w:p>
            <w:pPr>
              <w:pStyle w:val="0"/>
            </w:pPr>
            <w:r>
              <w:rPr>
                <w:sz w:val="20"/>
              </w:rPr>
              <w:t xml:space="preserve">Деятельность в области информации и связи</w:t>
            </w:r>
          </w:p>
        </w:tc>
        <w:tc>
          <w:tcPr>
            <w:tcW w:w="624" w:type="dxa"/>
          </w:tcPr>
          <w:p>
            <w:pPr>
              <w:pStyle w:val="0"/>
              <w:jc w:val="center"/>
            </w:pPr>
            <w:r>
              <w:rPr>
                <w:sz w:val="20"/>
              </w:rPr>
              <w:t xml:space="preserve">2,2</w:t>
            </w:r>
          </w:p>
        </w:tc>
        <w:tc>
          <w:tcPr>
            <w:tcW w:w="680" w:type="dxa"/>
          </w:tcPr>
          <w:p>
            <w:pPr>
              <w:pStyle w:val="0"/>
              <w:jc w:val="center"/>
            </w:pPr>
            <w:r>
              <w:rPr>
                <w:sz w:val="20"/>
              </w:rPr>
              <w:t xml:space="preserve">7,3</w:t>
            </w:r>
          </w:p>
        </w:tc>
        <w:tc>
          <w:tcPr>
            <w:tcW w:w="737" w:type="dxa"/>
          </w:tcPr>
          <w:p>
            <w:pPr>
              <w:pStyle w:val="0"/>
              <w:jc w:val="center"/>
            </w:pPr>
            <w:r>
              <w:rPr>
                <w:sz w:val="20"/>
              </w:rPr>
              <w:t xml:space="preserve">1,4</w:t>
            </w:r>
          </w:p>
        </w:tc>
        <w:tc>
          <w:tcPr>
            <w:tcW w:w="624" w:type="dxa"/>
          </w:tcPr>
          <w:p>
            <w:pPr>
              <w:pStyle w:val="0"/>
              <w:jc w:val="center"/>
            </w:pPr>
            <w:r>
              <w:rPr>
                <w:sz w:val="20"/>
              </w:rPr>
              <w:t xml:space="preserve">1,0</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0,9</w:t>
            </w:r>
          </w:p>
        </w:tc>
        <w:tc>
          <w:tcPr>
            <w:tcW w:w="624" w:type="dxa"/>
          </w:tcPr>
          <w:p>
            <w:pPr>
              <w:pStyle w:val="0"/>
              <w:jc w:val="center"/>
            </w:pPr>
            <w:r>
              <w:rPr>
                <w:sz w:val="20"/>
              </w:rPr>
              <w:t xml:space="preserve">0,2</w:t>
            </w:r>
          </w:p>
        </w:tc>
        <w:tc>
          <w:tcPr>
            <w:tcW w:w="797" w:type="dxa"/>
          </w:tcPr>
          <w:p>
            <w:pPr>
              <w:pStyle w:val="0"/>
              <w:jc w:val="center"/>
            </w:pPr>
            <w:r>
              <w:rPr>
                <w:sz w:val="20"/>
              </w:rPr>
              <w:t xml:space="preserve">0,1</w:t>
            </w:r>
          </w:p>
        </w:tc>
      </w:tr>
      <w:tr>
        <w:tc>
          <w:tcPr>
            <w:tcW w:w="2778" w:type="dxa"/>
          </w:tcPr>
          <w:p>
            <w:pPr>
              <w:pStyle w:val="0"/>
            </w:pPr>
            <w:r>
              <w:rPr>
                <w:sz w:val="20"/>
              </w:rPr>
              <w:t xml:space="preserve">Деятельность финансовая и страховая</w:t>
            </w:r>
          </w:p>
        </w:tc>
        <w:tc>
          <w:tcPr>
            <w:tcW w:w="624" w:type="dxa"/>
          </w:tcPr>
          <w:p>
            <w:pPr>
              <w:pStyle w:val="0"/>
              <w:jc w:val="center"/>
            </w:pPr>
            <w:r>
              <w:rPr>
                <w:sz w:val="20"/>
              </w:rPr>
              <w:t xml:space="preserve">1,7</w:t>
            </w:r>
          </w:p>
        </w:tc>
        <w:tc>
          <w:tcPr>
            <w:tcW w:w="680" w:type="dxa"/>
          </w:tcPr>
          <w:p>
            <w:pPr>
              <w:pStyle w:val="0"/>
              <w:jc w:val="center"/>
            </w:pPr>
            <w:r>
              <w:rPr>
                <w:sz w:val="20"/>
              </w:rPr>
              <w:t xml:space="preserve">4,1</w:t>
            </w:r>
          </w:p>
        </w:tc>
        <w:tc>
          <w:tcPr>
            <w:tcW w:w="737" w:type="dxa"/>
          </w:tcPr>
          <w:p>
            <w:pPr>
              <w:pStyle w:val="0"/>
              <w:jc w:val="center"/>
            </w:pPr>
            <w:r>
              <w:rPr>
                <w:sz w:val="20"/>
              </w:rPr>
              <w:t xml:space="preserve">3,3</w:t>
            </w:r>
          </w:p>
        </w:tc>
        <w:tc>
          <w:tcPr>
            <w:tcW w:w="624" w:type="dxa"/>
          </w:tcPr>
          <w:p>
            <w:pPr>
              <w:pStyle w:val="0"/>
              <w:jc w:val="center"/>
            </w:pPr>
            <w:r>
              <w:rPr>
                <w:sz w:val="20"/>
              </w:rPr>
              <w:t xml:space="preserve">0,4</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0,1</w:t>
            </w:r>
          </w:p>
        </w:tc>
        <w:tc>
          <w:tcPr>
            <w:tcW w:w="624" w:type="dxa"/>
          </w:tcPr>
          <w:p>
            <w:pPr>
              <w:pStyle w:val="0"/>
              <w:jc w:val="center"/>
            </w:pPr>
            <w:r>
              <w:rPr>
                <w:sz w:val="20"/>
              </w:rPr>
              <w:t xml:space="preserve">0,1</w:t>
            </w:r>
          </w:p>
        </w:tc>
        <w:tc>
          <w:tcPr>
            <w:tcW w:w="797" w:type="dxa"/>
          </w:tcPr>
          <w:p>
            <w:pPr>
              <w:pStyle w:val="0"/>
              <w:jc w:val="center"/>
            </w:pPr>
            <w:r>
              <w:rPr>
                <w:sz w:val="20"/>
              </w:rPr>
              <w:t xml:space="preserve">0,2</w:t>
            </w:r>
          </w:p>
        </w:tc>
      </w:tr>
      <w:tr>
        <w:tc>
          <w:tcPr>
            <w:tcW w:w="2778" w:type="dxa"/>
          </w:tcPr>
          <w:p>
            <w:pPr>
              <w:pStyle w:val="0"/>
            </w:pPr>
            <w:r>
              <w:rPr>
                <w:sz w:val="20"/>
              </w:rPr>
              <w:t xml:space="preserve">Деятельность по операциям с недвижимым имуществом</w:t>
            </w:r>
          </w:p>
        </w:tc>
        <w:tc>
          <w:tcPr>
            <w:tcW w:w="624" w:type="dxa"/>
          </w:tcPr>
          <w:p>
            <w:pPr>
              <w:pStyle w:val="0"/>
              <w:jc w:val="center"/>
            </w:pPr>
            <w:r>
              <w:rPr>
                <w:sz w:val="20"/>
              </w:rPr>
              <w:t xml:space="preserve">2,8</w:t>
            </w:r>
          </w:p>
        </w:tc>
        <w:tc>
          <w:tcPr>
            <w:tcW w:w="680" w:type="dxa"/>
          </w:tcPr>
          <w:p>
            <w:pPr>
              <w:pStyle w:val="0"/>
              <w:jc w:val="center"/>
            </w:pPr>
            <w:r>
              <w:rPr>
                <w:sz w:val="20"/>
              </w:rPr>
              <w:t xml:space="preserve">2,9</w:t>
            </w:r>
          </w:p>
        </w:tc>
        <w:tc>
          <w:tcPr>
            <w:tcW w:w="737" w:type="dxa"/>
          </w:tcPr>
          <w:p>
            <w:pPr>
              <w:pStyle w:val="0"/>
              <w:jc w:val="center"/>
            </w:pPr>
            <w:r>
              <w:rPr>
                <w:sz w:val="20"/>
              </w:rPr>
              <w:t xml:space="preserve">2,0</w:t>
            </w:r>
          </w:p>
        </w:tc>
        <w:tc>
          <w:tcPr>
            <w:tcW w:w="624" w:type="dxa"/>
          </w:tcPr>
          <w:p>
            <w:pPr>
              <w:pStyle w:val="0"/>
              <w:jc w:val="center"/>
            </w:pPr>
            <w:r>
              <w:rPr>
                <w:sz w:val="20"/>
              </w:rPr>
              <w:t xml:space="preserve">1,1</w:t>
            </w:r>
          </w:p>
        </w:tc>
        <w:tc>
          <w:tcPr>
            <w:tcW w:w="737" w:type="dxa"/>
          </w:tcPr>
          <w:p>
            <w:pPr>
              <w:pStyle w:val="0"/>
              <w:jc w:val="center"/>
            </w:pPr>
            <w:r>
              <w:rPr>
                <w:sz w:val="20"/>
              </w:rPr>
              <w:t xml:space="preserve">1,4</w:t>
            </w:r>
          </w:p>
        </w:tc>
        <w:tc>
          <w:tcPr>
            <w:tcW w:w="624" w:type="dxa"/>
          </w:tcPr>
          <w:p>
            <w:pPr>
              <w:pStyle w:val="0"/>
              <w:jc w:val="center"/>
            </w:pPr>
            <w:r>
              <w:rPr>
                <w:sz w:val="20"/>
              </w:rPr>
              <w:t xml:space="preserve">0,1</w:t>
            </w:r>
          </w:p>
        </w:tc>
        <w:tc>
          <w:tcPr>
            <w:tcW w:w="794" w:type="dxa"/>
          </w:tcPr>
          <w:p>
            <w:pPr>
              <w:pStyle w:val="0"/>
              <w:jc w:val="center"/>
            </w:pPr>
            <w:r>
              <w:rPr>
                <w:sz w:val="20"/>
              </w:rPr>
              <w:t xml:space="preserve">5,1</w:t>
            </w:r>
          </w:p>
        </w:tc>
        <w:tc>
          <w:tcPr>
            <w:tcW w:w="624" w:type="dxa"/>
          </w:tcPr>
          <w:p>
            <w:pPr>
              <w:pStyle w:val="0"/>
              <w:jc w:val="center"/>
            </w:pPr>
            <w:r>
              <w:rPr>
                <w:sz w:val="20"/>
              </w:rPr>
              <w:t xml:space="preserve">1,3</w:t>
            </w:r>
          </w:p>
        </w:tc>
        <w:tc>
          <w:tcPr>
            <w:tcW w:w="797" w:type="dxa"/>
          </w:tcPr>
          <w:p>
            <w:pPr>
              <w:pStyle w:val="0"/>
              <w:jc w:val="center"/>
            </w:pPr>
            <w:r>
              <w:rPr>
                <w:sz w:val="20"/>
              </w:rPr>
              <w:t xml:space="preserve">3,7</w:t>
            </w:r>
          </w:p>
        </w:tc>
      </w:tr>
      <w:tr>
        <w:tc>
          <w:tcPr>
            <w:tcW w:w="2778" w:type="dxa"/>
          </w:tcPr>
          <w:p>
            <w:pPr>
              <w:pStyle w:val="0"/>
            </w:pPr>
            <w:r>
              <w:rPr>
                <w:sz w:val="20"/>
              </w:rPr>
              <w:t xml:space="preserve">Деятельность профессиональная, научная и техническая</w:t>
            </w:r>
          </w:p>
        </w:tc>
        <w:tc>
          <w:tcPr>
            <w:tcW w:w="624" w:type="dxa"/>
          </w:tcPr>
          <w:p>
            <w:pPr>
              <w:pStyle w:val="0"/>
              <w:jc w:val="center"/>
            </w:pPr>
            <w:r>
              <w:rPr>
                <w:sz w:val="20"/>
              </w:rPr>
              <w:t xml:space="preserve">3,2</w:t>
            </w:r>
          </w:p>
        </w:tc>
        <w:tc>
          <w:tcPr>
            <w:tcW w:w="680" w:type="dxa"/>
          </w:tcPr>
          <w:p>
            <w:pPr>
              <w:pStyle w:val="0"/>
              <w:jc w:val="center"/>
            </w:pPr>
            <w:r>
              <w:rPr>
                <w:sz w:val="20"/>
              </w:rPr>
              <w:t xml:space="preserve">11,1</w:t>
            </w:r>
          </w:p>
        </w:tc>
        <w:tc>
          <w:tcPr>
            <w:tcW w:w="737" w:type="dxa"/>
          </w:tcPr>
          <w:p>
            <w:pPr>
              <w:pStyle w:val="0"/>
              <w:jc w:val="center"/>
            </w:pPr>
            <w:r>
              <w:rPr>
                <w:sz w:val="20"/>
              </w:rPr>
              <w:t xml:space="preserve">2,0</w:t>
            </w:r>
          </w:p>
        </w:tc>
        <w:tc>
          <w:tcPr>
            <w:tcW w:w="624" w:type="dxa"/>
          </w:tcPr>
          <w:p>
            <w:pPr>
              <w:pStyle w:val="0"/>
              <w:jc w:val="center"/>
            </w:pPr>
            <w:r>
              <w:rPr>
                <w:sz w:val="20"/>
              </w:rPr>
              <w:t xml:space="preserve">0,5</w:t>
            </w:r>
          </w:p>
        </w:tc>
        <w:tc>
          <w:tcPr>
            <w:tcW w:w="737" w:type="dxa"/>
          </w:tcPr>
          <w:p>
            <w:pPr>
              <w:pStyle w:val="0"/>
              <w:jc w:val="center"/>
            </w:pPr>
            <w:r>
              <w:rPr>
                <w:sz w:val="20"/>
              </w:rPr>
              <w:t xml:space="preserve">0,3</w:t>
            </w:r>
          </w:p>
        </w:tc>
        <w:tc>
          <w:tcPr>
            <w:tcW w:w="624" w:type="dxa"/>
          </w:tcPr>
          <w:p>
            <w:pPr>
              <w:pStyle w:val="0"/>
              <w:jc w:val="center"/>
            </w:pPr>
            <w:r>
              <w:rPr>
                <w:sz w:val="20"/>
              </w:rPr>
              <w:t xml:space="preserve">0,0</w:t>
            </w:r>
          </w:p>
        </w:tc>
        <w:tc>
          <w:tcPr>
            <w:tcW w:w="794" w:type="dxa"/>
          </w:tcPr>
          <w:p>
            <w:pPr>
              <w:pStyle w:val="0"/>
              <w:jc w:val="center"/>
            </w:pPr>
            <w:r>
              <w:rPr>
                <w:sz w:val="20"/>
              </w:rPr>
              <w:t xml:space="preserve">1,0</w:t>
            </w:r>
          </w:p>
        </w:tc>
        <w:tc>
          <w:tcPr>
            <w:tcW w:w="624" w:type="dxa"/>
          </w:tcPr>
          <w:p>
            <w:pPr>
              <w:pStyle w:val="0"/>
              <w:jc w:val="center"/>
            </w:pPr>
            <w:r>
              <w:rPr>
                <w:sz w:val="20"/>
              </w:rPr>
              <w:t xml:space="preserve">0,5</w:t>
            </w:r>
          </w:p>
        </w:tc>
        <w:tc>
          <w:tcPr>
            <w:tcW w:w="797" w:type="dxa"/>
          </w:tcPr>
          <w:p>
            <w:pPr>
              <w:pStyle w:val="0"/>
              <w:jc w:val="center"/>
            </w:pPr>
            <w:r>
              <w:rPr>
                <w:sz w:val="20"/>
              </w:rPr>
              <w:t xml:space="preserve">0,8</w:t>
            </w:r>
          </w:p>
        </w:tc>
      </w:tr>
      <w:tr>
        <w:tc>
          <w:tcPr>
            <w:tcW w:w="2778" w:type="dxa"/>
          </w:tcPr>
          <w:p>
            <w:pPr>
              <w:pStyle w:val="0"/>
            </w:pPr>
            <w:r>
              <w:rPr>
                <w:sz w:val="20"/>
              </w:rPr>
              <w:t xml:space="preserve">Деятельность административная и сопутствующие дополнительные услуги</w:t>
            </w:r>
          </w:p>
        </w:tc>
        <w:tc>
          <w:tcPr>
            <w:tcW w:w="624" w:type="dxa"/>
          </w:tcPr>
          <w:p>
            <w:pPr>
              <w:pStyle w:val="0"/>
              <w:jc w:val="center"/>
            </w:pPr>
            <w:r>
              <w:rPr>
                <w:sz w:val="20"/>
              </w:rPr>
              <w:t xml:space="preserve">1,8</w:t>
            </w:r>
          </w:p>
        </w:tc>
        <w:tc>
          <w:tcPr>
            <w:tcW w:w="680" w:type="dxa"/>
          </w:tcPr>
          <w:p>
            <w:pPr>
              <w:pStyle w:val="0"/>
              <w:jc w:val="center"/>
            </w:pPr>
            <w:r>
              <w:rPr>
                <w:sz w:val="20"/>
              </w:rPr>
              <w:t xml:space="preserve">1,4</w:t>
            </w:r>
          </w:p>
        </w:tc>
        <w:tc>
          <w:tcPr>
            <w:tcW w:w="737" w:type="dxa"/>
          </w:tcPr>
          <w:p>
            <w:pPr>
              <w:pStyle w:val="0"/>
              <w:jc w:val="center"/>
            </w:pPr>
            <w:r>
              <w:rPr>
                <w:sz w:val="20"/>
              </w:rPr>
              <w:t xml:space="preserve">0,8</w:t>
            </w:r>
          </w:p>
        </w:tc>
        <w:tc>
          <w:tcPr>
            <w:tcW w:w="624" w:type="dxa"/>
          </w:tcPr>
          <w:p>
            <w:pPr>
              <w:pStyle w:val="0"/>
              <w:jc w:val="center"/>
            </w:pPr>
            <w:r>
              <w:rPr>
                <w:sz w:val="20"/>
              </w:rPr>
              <w:t xml:space="preserve">0,4</w:t>
            </w:r>
          </w:p>
        </w:tc>
        <w:tc>
          <w:tcPr>
            <w:tcW w:w="737" w:type="dxa"/>
          </w:tcPr>
          <w:p>
            <w:pPr>
              <w:pStyle w:val="0"/>
              <w:jc w:val="center"/>
            </w:pPr>
            <w:r>
              <w:rPr>
                <w:sz w:val="20"/>
              </w:rPr>
              <w:t xml:space="preserve">10,7</w:t>
            </w:r>
          </w:p>
        </w:tc>
        <w:tc>
          <w:tcPr>
            <w:tcW w:w="624" w:type="dxa"/>
          </w:tcPr>
          <w:p>
            <w:pPr>
              <w:pStyle w:val="0"/>
              <w:jc w:val="center"/>
            </w:pPr>
            <w:r>
              <w:rPr>
                <w:sz w:val="20"/>
              </w:rPr>
              <w:t xml:space="preserve">0,1</w:t>
            </w:r>
          </w:p>
        </w:tc>
        <w:tc>
          <w:tcPr>
            <w:tcW w:w="794" w:type="dxa"/>
          </w:tcPr>
          <w:p>
            <w:pPr>
              <w:pStyle w:val="0"/>
              <w:jc w:val="center"/>
            </w:pPr>
            <w:r>
              <w:rPr>
                <w:sz w:val="20"/>
              </w:rPr>
              <w:t xml:space="preserve">0,5</w:t>
            </w:r>
          </w:p>
        </w:tc>
        <w:tc>
          <w:tcPr>
            <w:tcW w:w="624" w:type="dxa"/>
          </w:tcPr>
          <w:p>
            <w:pPr>
              <w:pStyle w:val="0"/>
              <w:jc w:val="center"/>
            </w:pPr>
            <w:r>
              <w:rPr>
                <w:sz w:val="20"/>
              </w:rPr>
              <w:t xml:space="preserve">1,4</w:t>
            </w:r>
          </w:p>
        </w:tc>
        <w:tc>
          <w:tcPr>
            <w:tcW w:w="797" w:type="dxa"/>
          </w:tcPr>
          <w:p>
            <w:pPr>
              <w:pStyle w:val="0"/>
              <w:jc w:val="center"/>
            </w:pPr>
            <w:r>
              <w:rPr>
                <w:sz w:val="20"/>
              </w:rPr>
              <w:t xml:space="preserve">2,4</w:t>
            </w:r>
          </w:p>
        </w:tc>
      </w:tr>
      <w:tr>
        <w:tc>
          <w:tcPr>
            <w:tcW w:w="2778" w:type="dxa"/>
          </w:tcPr>
          <w:p>
            <w:pPr>
              <w:pStyle w:val="0"/>
            </w:pPr>
            <w:r>
              <w:rPr>
                <w:sz w:val="20"/>
              </w:rPr>
              <w:t xml:space="preserve">Госуправление и обеспечение военной безопасности; соцобеспечение</w:t>
            </w:r>
          </w:p>
        </w:tc>
        <w:tc>
          <w:tcPr>
            <w:tcW w:w="624" w:type="dxa"/>
          </w:tcPr>
          <w:p>
            <w:pPr>
              <w:pStyle w:val="0"/>
              <w:jc w:val="center"/>
            </w:pPr>
            <w:r>
              <w:rPr>
                <w:sz w:val="20"/>
              </w:rPr>
              <w:t xml:space="preserve">4,1</w:t>
            </w:r>
          </w:p>
        </w:tc>
        <w:tc>
          <w:tcPr>
            <w:tcW w:w="680" w:type="dxa"/>
          </w:tcPr>
          <w:p>
            <w:pPr>
              <w:pStyle w:val="0"/>
              <w:jc w:val="center"/>
            </w:pPr>
            <w:r>
              <w:rPr>
                <w:sz w:val="20"/>
              </w:rPr>
              <w:t xml:space="preserve">13,0</w:t>
            </w:r>
          </w:p>
        </w:tc>
        <w:tc>
          <w:tcPr>
            <w:tcW w:w="737" w:type="dxa"/>
          </w:tcPr>
          <w:p>
            <w:pPr>
              <w:pStyle w:val="0"/>
              <w:jc w:val="center"/>
            </w:pPr>
            <w:r>
              <w:rPr>
                <w:sz w:val="20"/>
              </w:rPr>
              <w:t xml:space="preserve">6,2</w:t>
            </w:r>
          </w:p>
        </w:tc>
        <w:tc>
          <w:tcPr>
            <w:tcW w:w="624" w:type="dxa"/>
          </w:tcPr>
          <w:p>
            <w:pPr>
              <w:pStyle w:val="0"/>
              <w:jc w:val="center"/>
            </w:pPr>
            <w:r>
              <w:rPr>
                <w:sz w:val="20"/>
              </w:rPr>
              <w:t xml:space="preserve">1,3</w:t>
            </w:r>
          </w:p>
        </w:tc>
        <w:tc>
          <w:tcPr>
            <w:tcW w:w="737" w:type="dxa"/>
          </w:tcPr>
          <w:p>
            <w:pPr>
              <w:pStyle w:val="0"/>
              <w:jc w:val="center"/>
            </w:pPr>
            <w:r>
              <w:rPr>
                <w:sz w:val="20"/>
              </w:rPr>
              <w:t xml:space="preserve">3,8</w:t>
            </w:r>
          </w:p>
        </w:tc>
        <w:tc>
          <w:tcPr>
            <w:tcW w:w="624" w:type="dxa"/>
          </w:tcPr>
          <w:p>
            <w:pPr>
              <w:pStyle w:val="0"/>
              <w:jc w:val="center"/>
            </w:pPr>
            <w:r>
              <w:rPr>
                <w:sz w:val="20"/>
              </w:rPr>
              <w:t xml:space="preserve">0,0</w:t>
            </w:r>
          </w:p>
        </w:tc>
        <w:tc>
          <w:tcPr>
            <w:tcW w:w="794" w:type="dxa"/>
          </w:tcPr>
          <w:p>
            <w:pPr>
              <w:pStyle w:val="0"/>
              <w:jc w:val="center"/>
            </w:pPr>
            <w:r>
              <w:rPr>
                <w:sz w:val="20"/>
              </w:rPr>
              <w:t xml:space="preserve">0,3</w:t>
            </w:r>
          </w:p>
        </w:tc>
        <w:tc>
          <w:tcPr>
            <w:tcW w:w="624" w:type="dxa"/>
          </w:tcPr>
          <w:p>
            <w:pPr>
              <w:pStyle w:val="0"/>
              <w:jc w:val="center"/>
            </w:pPr>
            <w:r>
              <w:rPr>
                <w:sz w:val="20"/>
              </w:rPr>
              <w:t xml:space="preserve">1,2</w:t>
            </w:r>
          </w:p>
        </w:tc>
        <w:tc>
          <w:tcPr>
            <w:tcW w:w="797" w:type="dxa"/>
          </w:tcPr>
          <w:p>
            <w:pPr>
              <w:pStyle w:val="0"/>
              <w:jc w:val="center"/>
            </w:pPr>
            <w:r>
              <w:rPr>
                <w:sz w:val="20"/>
              </w:rPr>
              <w:t xml:space="preserve">0,6</w:t>
            </w:r>
          </w:p>
        </w:tc>
      </w:tr>
      <w:tr>
        <w:tc>
          <w:tcPr>
            <w:tcW w:w="2778" w:type="dxa"/>
          </w:tcPr>
          <w:p>
            <w:pPr>
              <w:pStyle w:val="0"/>
            </w:pPr>
            <w:r>
              <w:rPr>
                <w:sz w:val="20"/>
              </w:rPr>
              <w:t xml:space="preserve">Образование</w:t>
            </w:r>
          </w:p>
        </w:tc>
        <w:tc>
          <w:tcPr>
            <w:tcW w:w="624" w:type="dxa"/>
          </w:tcPr>
          <w:p>
            <w:pPr>
              <w:pStyle w:val="0"/>
              <w:jc w:val="center"/>
            </w:pPr>
            <w:r>
              <w:rPr>
                <w:sz w:val="20"/>
              </w:rPr>
              <w:t xml:space="preserve">5,2</w:t>
            </w:r>
          </w:p>
        </w:tc>
        <w:tc>
          <w:tcPr>
            <w:tcW w:w="680" w:type="dxa"/>
          </w:tcPr>
          <w:p>
            <w:pPr>
              <w:pStyle w:val="0"/>
              <w:jc w:val="center"/>
            </w:pPr>
            <w:r>
              <w:rPr>
                <w:sz w:val="20"/>
              </w:rPr>
              <w:t xml:space="preserve">31,2</w:t>
            </w:r>
          </w:p>
        </w:tc>
        <w:tc>
          <w:tcPr>
            <w:tcW w:w="737" w:type="dxa"/>
          </w:tcPr>
          <w:p>
            <w:pPr>
              <w:pStyle w:val="0"/>
              <w:jc w:val="center"/>
            </w:pPr>
            <w:r>
              <w:rPr>
                <w:sz w:val="20"/>
              </w:rPr>
              <w:t xml:space="preserve">1,6</w:t>
            </w:r>
          </w:p>
        </w:tc>
        <w:tc>
          <w:tcPr>
            <w:tcW w:w="624" w:type="dxa"/>
          </w:tcPr>
          <w:p>
            <w:pPr>
              <w:pStyle w:val="0"/>
              <w:jc w:val="center"/>
            </w:pPr>
            <w:r>
              <w:rPr>
                <w:sz w:val="20"/>
              </w:rPr>
              <w:t xml:space="preserve">2,0</w:t>
            </w:r>
          </w:p>
        </w:tc>
        <w:tc>
          <w:tcPr>
            <w:tcW w:w="737" w:type="dxa"/>
          </w:tcPr>
          <w:p>
            <w:pPr>
              <w:pStyle w:val="0"/>
              <w:jc w:val="center"/>
            </w:pPr>
            <w:r>
              <w:rPr>
                <w:sz w:val="20"/>
              </w:rPr>
              <w:t xml:space="preserve">7,1</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1,0</w:t>
            </w:r>
          </w:p>
        </w:tc>
        <w:tc>
          <w:tcPr>
            <w:tcW w:w="797" w:type="dxa"/>
          </w:tcPr>
          <w:p>
            <w:pPr>
              <w:pStyle w:val="0"/>
              <w:jc w:val="center"/>
            </w:pPr>
            <w:r>
              <w:rPr>
                <w:sz w:val="20"/>
              </w:rPr>
              <w:t xml:space="preserve">6,6</w:t>
            </w:r>
          </w:p>
        </w:tc>
      </w:tr>
      <w:tr>
        <w:tc>
          <w:tcPr>
            <w:tcW w:w="2778" w:type="dxa"/>
          </w:tcPr>
          <w:p>
            <w:pPr>
              <w:pStyle w:val="0"/>
            </w:pPr>
            <w:r>
              <w:rPr>
                <w:sz w:val="20"/>
              </w:rPr>
              <w:t xml:space="preserve">Деятельность в области здравоохранения и социальных услуг</w:t>
            </w:r>
          </w:p>
        </w:tc>
        <w:tc>
          <w:tcPr>
            <w:tcW w:w="624" w:type="dxa"/>
          </w:tcPr>
          <w:p>
            <w:pPr>
              <w:pStyle w:val="0"/>
              <w:jc w:val="center"/>
            </w:pPr>
            <w:r>
              <w:rPr>
                <w:sz w:val="20"/>
              </w:rPr>
              <w:t xml:space="preserve">2,1</w:t>
            </w:r>
          </w:p>
        </w:tc>
        <w:tc>
          <w:tcPr>
            <w:tcW w:w="680" w:type="dxa"/>
          </w:tcPr>
          <w:p>
            <w:pPr>
              <w:pStyle w:val="0"/>
              <w:jc w:val="center"/>
            </w:pPr>
            <w:r>
              <w:rPr>
                <w:sz w:val="20"/>
              </w:rPr>
              <w:t xml:space="preserve">11,1</w:t>
            </w:r>
          </w:p>
        </w:tc>
        <w:tc>
          <w:tcPr>
            <w:tcW w:w="737" w:type="dxa"/>
          </w:tcPr>
          <w:p>
            <w:pPr>
              <w:pStyle w:val="0"/>
              <w:jc w:val="center"/>
            </w:pPr>
            <w:r>
              <w:rPr>
                <w:sz w:val="20"/>
              </w:rPr>
              <w:t xml:space="preserve">17,8</w:t>
            </w:r>
          </w:p>
        </w:tc>
        <w:tc>
          <w:tcPr>
            <w:tcW w:w="624" w:type="dxa"/>
          </w:tcPr>
          <w:p>
            <w:pPr>
              <w:pStyle w:val="0"/>
              <w:jc w:val="center"/>
            </w:pPr>
            <w:r>
              <w:rPr>
                <w:sz w:val="20"/>
              </w:rPr>
              <w:t xml:space="preserve">0,6</w:t>
            </w:r>
          </w:p>
        </w:tc>
        <w:tc>
          <w:tcPr>
            <w:tcW w:w="737" w:type="dxa"/>
          </w:tcPr>
          <w:p>
            <w:pPr>
              <w:pStyle w:val="0"/>
              <w:jc w:val="center"/>
            </w:pPr>
            <w:r>
              <w:rPr>
                <w:sz w:val="20"/>
              </w:rPr>
              <w:t xml:space="preserve">4,6</w:t>
            </w:r>
          </w:p>
        </w:tc>
        <w:tc>
          <w:tcPr>
            <w:tcW w:w="624" w:type="dxa"/>
          </w:tcPr>
          <w:p>
            <w:pPr>
              <w:pStyle w:val="0"/>
              <w:jc w:val="center"/>
            </w:pPr>
            <w:r>
              <w:rPr>
                <w:sz w:val="20"/>
              </w:rPr>
              <w:t xml:space="preserve">0,0</w:t>
            </w:r>
          </w:p>
        </w:tc>
        <w:tc>
          <w:tcPr>
            <w:tcW w:w="794" w:type="dxa"/>
          </w:tcPr>
          <w:p>
            <w:pPr>
              <w:pStyle w:val="0"/>
              <w:jc w:val="center"/>
            </w:pPr>
            <w:r>
              <w:rPr>
                <w:sz w:val="20"/>
              </w:rPr>
              <w:t xml:space="preserve">0,6</w:t>
            </w:r>
          </w:p>
        </w:tc>
        <w:tc>
          <w:tcPr>
            <w:tcW w:w="624" w:type="dxa"/>
          </w:tcPr>
          <w:p>
            <w:pPr>
              <w:pStyle w:val="0"/>
              <w:jc w:val="center"/>
            </w:pPr>
            <w:r>
              <w:rPr>
                <w:sz w:val="20"/>
              </w:rPr>
              <w:t xml:space="preserve">1,5</w:t>
            </w:r>
          </w:p>
        </w:tc>
        <w:tc>
          <w:tcPr>
            <w:tcW w:w="797" w:type="dxa"/>
          </w:tcPr>
          <w:p>
            <w:pPr>
              <w:pStyle w:val="0"/>
              <w:jc w:val="center"/>
            </w:pPr>
            <w:r>
              <w:rPr>
                <w:sz w:val="20"/>
              </w:rPr>
              <w:t xml:space="preserve">3,3</w:t>
            </w:r>
          </w:p>
        </w:tc>
      </w:tr>
      <w:tr>
        <w:tc>
          <w:tcPr>
            <w:tcW w:w="2778" w:type="dxa"/>
          </w:tcPr>
          <w:p>
            <w:pPr>
              <w:pStyle w:val="0"/>
            </w:pPr>
            <w:r>
              <w:rPr>
                <w:sz w:val="20"/>
              </w:rPr>
              <w:t xml:space="preserve">Деятельность в области культуры, спорта, организации досуга и пр.</w:t>
            </w:r>
          </w:p>
        </w:tc>
        <w:tc>
          <w:tcPr>
            <w:tcW w:w="624" w:type="dxa"/>
          </w:tcPr>
          <w:p>
            <w:pPr>
              <w:pStyle w:val="0"/>
              <w:jc w:val="center"/>
            </w:pPr>
            <w:r>
              <w:rPr>
                <w:sz w:val="20"/>
              </w:rPr>
              <w:t xml:space="preserve">1,6</w:t>
            </w:r>
          </w:p>
        </w:tc>
        <w:tc>
          <w:tcPr>
            <w:tcW w:w="680" w:type="dxa"/>
          </w:tcPr>
          <w:p>
            <w:pPr>
              <w:pStyle w:val="0"/>
              <w:jc w:val="center"/>
            </w:pPr>
            <w:r>
              <w:rPr>
                <w:sz w:val="20"/>
              </w:rPr>
              <w:t xml:space="preserve">4,5</w:t>
            </w:r>
          </w:p>
        </w:tc>
        <w:tc>
          <w:tcPr>
            <w:tcW w:w="737" w:type="dxa"/>
          </w:tcPr>
          <w:p>
            <w:pPr>
              <w:pStyle w:val="0"/>
              <w:jc w:val="center"/>
            </w:pPr>
            <w:r>
              <w:rPr>
                <w:sz w:val="20"/>
              </w:rPr>
              <w:t xml:space="preserve">2,2</w:t>
            </w:r>
          </w:p>
        </w:tc>
        <w:tc>
          <w:tcPr>
            <w:tcW w:w="624" w:type="dxa"/>
          </w:tcPr>
          <w:p>
            <w:pPr>
              <w:pStyle w:val="0"/>
              <w:jc w:val="center"/>
            </w:pPr>
            <w:r>
              <w:rPr>
                <w:sz w:val="20"/>
              </w:rPr>
              <w:t xml:space="preserve">0,5</w:t>
            </w:r>
          </w:p>
        </w:tc>
        <w:tc>
          <w:tcPr>
            <w:tcW w:w="737" w:type="dxa"/>
          </w:tcPr>
          <w:p>
            <w:pPr>
              <w:pStyle w:val="0"/>
              <w:jc w:val="center"/>
            </w:pPr>
            <w:r>
              <w:rPr>
                <w:sz w:val="20"/>
              </w:rPr>
              <w:t xml:space="preserve">0,9</w:t>
            </w:r>
          </w:p>
        </w:tc>
        <w:tc>
          <w:tcPr>
            <w:tcW w:w="624" w:type="dxa"/>
          </w:tcPr>
          <w:p>
            <w:pPr>
              <w:pStyle w:val="0"/>
              <w:jc w:val="center"/>
            </w:pPr>
            <w:r>
              <w:rPr>
                <w:sz w:val="20"/>
              </w:rPr>
              <w:t xml:space="preserve">0,1</w:t>
            </w:r>
          </w:p>
        </w:tc>
        <w:tc>
          <w:tcPr>
            <w:tcW w:w="794" w:type="dxa"/>
          </w:tcPr>
          <w:p>
            <w:pPr>
              <w:pStyle w:val="0"/>
              <w:jc w:val="center"/>
            </w:pPr>
            <w:r>
              <w:rPr>
                <w:sz w:val="20"/>
              </w:rPr>
              <w:t xml:space="preserve">0,2</w:t>
            </w:r>
          </w:p>
        </w:tc>
        <w:tc>
          <w:tcPr>
            <w:tcW w:w="624" w:type="dxa"/>
          </w:tcPr>
          <w:p>
            <w:pPr>
              <w:pStyle w:val="0"/>
              <w:jc w:val="center"/>
            </w:pPr>
            <w:r>
              <w:rPr>
                <w:sz w:val="20"/>
              </w:rPr>
              <w:t xml:space="preserve">0,2</w:t>
            </w:r>
          </w:p>
        </w:tc>
        <w:tc>
          <w:tcPr>
            <w:tcW w:w="797" w:type="dxa"/>
          </w:tcPr>
          <w:p>
            <w:pPr>
              <w:pStyle w:val="0"/>
              <w:jc w:val="center"/>
            </w:pPr>
            <w:r>
              <w:rPr>
                <w:sz w:val="20"/>
              </w:rPr>
              <w:t xml:space="preserve">1,1</w:t>
            </w:r>
          </w:p>
        </w:tc>
      </w:tr>
      <w:tr>
        <w:tc>
          <w:tcPr>
            <w:tcW w:w="2778" w:type="dxa"/>
          </w:tcPr>
          <w:p>
            <w:pPr>
              <w:pStyle w:val="0"/>
            </w:pPr>
            <w:r>
              <w:rPr>
                <w:sz w:val="20"/>
              </w:rPr>
              <w:t xml:space="preserve">Предоставление прочих видов услуг</w:t>
            </w:r>
          </w:p>
        </w:tc>
        <w:tc>
          <w:tcPr>
            <w:tcW w:w="624" w:type="dxa"/>
          </w:tcPr>
          <w:p>
            <w:pPr>
              <w:pStyle w:val="0"/>
              <w:jc w:val="center"/>
            </w:pPr>
            <w:r>
              <w:rPr>
                <w:sz w:val="20"/>
              </w:rPr>
              <w:t xml:space="preserve">2,0</w:t>
            </w:r>
          </w:p>
        </w:tc>
        <w:tc>
          <w:tcPr>
            <w:tcW w:w="680" w:type="dxa"/>
          </w:tcPr>
          <w:p>
            <w:pPr>
              <w:pStyle w:val="0"/>
              <w:jc w:val="center"/>
            </w:pPr>
            <w:r>
              <w:rPr>
                <w:sz w:val="20"/>
              </w:rPr>
              <w:t xml:space="preserve">2,3</w:t>
            </w:r>
          </w:p>
        </w:tc>
        <w:tc>
          <w:tcPr>
            <w:tcW w:w="737" w:type="dxa"/>
          </w:tcPr>
          <w:p>
            <w:pPr>
              <w:pStyle w:val="0"/>
              <w:jc w:val="center"/>
            </w:pPr>
            <w:r>
              <w:rPr>
                <w:sz w:val="20"/>
              </w:rPr>
              <w:t xml:space="preserve">4,4</w:t>
            </w:r>
          </w:p>
        </w:tc>
        <w:tc>
          <w:tcPr>
            <w:tcW w:w="624" w:type="dxa"/>
          </w:tcPr>
          <w:p>
            <w:pPr>
              <w:pStyle w:val="0"/>
              <w:jc w:val="center"/>
            </w:pPr>
            <w:r>
              <w:rPr>
                <w:sz w:val="20"/>
              </w:rPr>
              <w:t xml:space="preserve">0,2</w:t>
            </w:r>
          </w:p>
        </w:tc>
        <w:tc>
          <w:tcPr>
            <w:tcW w:w="737" w:type="dxa"/>
          </w:tcPr>
          <w:p>
            <w:pPr>
              <w:pStyle w:val="0"/>
              <w:jc w:val="center"/>
            </w:pPr>
            <w:r>
              <w:rPr>
                <w:sz w:val="20"/>
              </w:rPr>
              <w:t xml:space="preserve">7,5</w:t>
            </w:r>
          </w:p>
        </w:tc>
        <w:tc>
          <w:tcPr>
            <w:tcW w:w="624" w:type="dxa"/>
          </w:tcPr>
          <w:p>
            <w:pPr>
              <w:pStyle w:val="0"/>
              <w:jc w:val="center"/>
            </w:pPr>
            <w:r>
              <w:rPr>
                <w:sz w:val="20"/>
              </w:rPr>
              <w:t xml:space="preserve">0,0</w:t>
            </w:r>
          </w:p>
        </w:tc>
        <w:tc>
          <w:tcPr>
            <w:tcW w:w="794" w:type="dxa"/>
          </w:tcPr>
          <w:p>
            <w:pPr>
              <w:pStyle w:val="0"/>
              <w:jc w:val="center"/>
            </w:pPr>
            <w:r>
              <w:rPr>
                <w:sz w:val="20"/>
              </w:rPr>
              <w:t xml:space="preserve">1,2</w:t>
            </w:r>
          </w:p>
        </w:tc>
        <w:tc>
          <w:tcPr>
            <w:tcW w:w="624" w:type="dxa"/>
          </w:tcPr>
          <w:p>
            <w:pPr>
              <w:pStyle w:val="0"/>
              <w:jc w:val="center"/>
            </w:pPr>
            <w:r>
              <w:rPr>
                <w:sz w:val="20"/>
              </w:rPr>
              <w:t xml:space="preserve">1,5</w:t>
            </w:r>
          </w:p>
        </w:tc>
        <w:tc>
          <w:tcPr>
            <w:tcW w:w="797" w:type="dxa"/>
          </w:tcPr>
          <w:p>
            <w:pPr>
              <w:pStyle w:val="0"/>
              <w:jc w:val="center"/>
            </w:pPr>
            <w:r>
              <w:rPr>
                <w:sz w:val="20"/>
              </w:rPr>
              <w:t xml:space="preserve">2,8</w:t>
            </w:r>
          </w:p>
        </w:tc>
      </w:tr>
      <w:tr>
        <w:tc>
          <w:tcPr>
            <w:tcW w:w="2778" w:type="dxa"/>
          </w:tcPr>
          <w:p>
            <w:pPr>
              <w:pStyle w:val="0"/>
            </w:pPr>
            <w:r>
              <w:rPr>
                <w:sz w:val="20"/>
              </w:rPr>
              <w:t xml:space="preserve">Итого</w:t>
            </w:r>
          </w:p>
        </w:tc>
        <w:tc>
          <w:tcPr>
            <w:tcW w:w="624" w:type="dxa"/>
          </w:tcPr>
          <w:p>
            <w:pPr>
              <w:pStyle w:val="0"/>
              <w:jc w:val="center"/>
            </w:pPr>
            <w:r>
              <w:rPr>
                <w:sz w:val="20"/>
              </w:rPr>
              <w:t xml:space="preserve">78,0</w:t>
            </w:r>
          </w:p>
        </w:tc>
        <w:tc>
          <w:tcPr>
            <w:tcW w:w="680" w:type="dxa"/>
          </w:tcPr>
          <w:p>
            <w:pPr>
              <w:pStyle w:val="0"/>
              <w:jc w:val="center"/>
            </w:pPr>
            <w:r>
              <w:rPr>
                <w:sz w:val="20"/>
              </w:rPr>
              <w:t xml:space="preserve">148,8</w:t>
            </w:r>
          </w:p>
        </w:tc>
        <w:tc>
          <w:tcPr>
            <w:tcW w:w="737" w:type="dxa"/>
          </w:tcPr>
          <w:p>
            <w:pPr>
              <w:pStyle w:val="0"/>
              <w:jc w:val="center"/>
            </w:pPr>
            <w:r>
              <w:rPr>
                <w:sz w:val="20"/>
              </w:rPr>
              <w:t xml:space="preserve">87,4</w:t>
            </w:r>
          </w:p>
        </w:tc>
        <w:tc>
          <w:tcPr>
            <w:tcW w:w="624" w:type="dxa"/>
          </w:tcPr>
          <w:p>
            <w:pPr>
              <w:pStyle w:val="0"/>
              <w:jc w:val="center"/>
            </w:pPr>
            <w:r>
              <w:rPr>
                <w:sz w:val="20"/>
              </w:rPr>
              <w:t xml:space="preserve">40,6</w:t>
            </w:r>
          </w:p>
        </w:tc>
        <w:tc>
          <w:tcPr>
            <w:tcW w:w="737" w:type="dxa"/>
          </w:tcPr>
          <w:p>
            <w:pPr>
              <w:pStyle w:val="0"/>
              <w:jc w:val="center"/>
            </w:pPr>
            <w:r>
              <w:rPr>
                <w:sz w:val="20"/>
              </w:rPr>
              <w:t xml:space="preserve">104,8</w:t>
            </w:r>
          </w:p>
        </w:tc>
        <w:tc>
          <w:tcPr>
            <w:tcW w:w="624" w:type="dxa"/>
          </w:tcPr>
          <w:p>
            <w:pPr>
              <w:pStyle w:val="0"/>
              <w:jc w:val="center"/>
            </w:pPr>
            <w:r>
              <w:rPr>
                <w:sz w:val="20"/>
              </w:rPr>
              <w:t xml:space="preserve">7,4</w:t>
            </w:r>
          </w:p>
        </w:tc>
        <w:tc>
          <w:tcPr>
            <w:tcW w:w="794" w:type="dxa"/>
          </w:tcPr>
          <w:p>
            <w:pPr>
              <w:pStyle w:val="0"/>
              <w:jc w:val="center"/>
            </w:pPr>
            <w:r>
              <w:rPr>
                <w:sz w:val="20"/>
              </w:rPr>
              <w:t xml:space="preserve">113,6</w:t>
            </w:r>
          </w:p>
        </w:tc>
        <w:tc>
          <w:tcPr>
            <w:tcW w:w="624" w:type="dxa"/>
          </w:tcPr>
          <w:p>
            <w:pPr>
              <w:pStyle w:val="0"/>
              <w:jc w:val="center"/>
            </w:pPr>
            <w:r>
              <w:rPr>
                <w:sz w:val="20"/>
              </w:rPr>
              <w:t xml:space="preserve">95,8</w:t>
            </w:r>
          </w:p>
        </w:tc>
        <w:tc>
          <w:tcPr>
            <w:tcW w:w="797" w:type="dxa"/>
          </w:tcPr>
          <w:p>
            <w:pPr>
              <w:pStyle w:val="0"/>
              <w:jc w:val="center"/>
            </w:pPr>
            <w:r>
              <w:rPr>
                <w:sz w:val="20"/>
              </w:rPr>
              <w:t xml:space="preserve">65,6</w:t>
            </w:r>
          </w:p>
        </w:tc>
      </w:tr>
      <w:tr>
        <w:tc>
          <w:tcPr>
            <w:tcW w:w="2778" w:type="dxa"/>
          </w:tcPr>
          <w:p>
            <w:pPr>
              <w:pStyle w:val="0"/>
            </w:pPr>
            <w:r>
              <w:rPr>
                <w:sz w:val="20"/>
              </w:rPr>
              <w:t xml:space="preserve">&lt;*&gt; код укрупненной группы занятий в соответствии с Общероссийским классификатором занятий ("ОК 010-2014 (МСКЗ-08). Общероссийский классификатор занятий" (принят и введен в действие </w:t>
            </w:r>
            <w:hyperlink w:history="0" r:id="rId108" w:tooltip="&quot;ОК 010-2014 (МСКЗ-08). Общероссийский классификатор занятий&quot; (принят и введен в действие Приказом Росстандарта от 12.12.2014 N 2020-ст) (ред. от 18.02.2021) {КонсультантПлюс}">
              <w:r>
                <w:rPr>
                  <w:sz w:val="20"/>
                  <w:color w:val="0000ff"/>
                </w:rPr>
                <w:t xml:space="preserve">Приказом</w:t>
              </w:r>
            </w:hyperlink>
            <w:r>
              <w:rPr>
                <w:sz w:val="20"/>
              </w:rPr>
              <w:t xml:space="preserve"> Росстандарта от 12.12.2014 N 2020-ст))</w:t>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797" w:type="dxa"/>
          </w:tcPr>
          <w:p>
            <w:pPr>
              <w:pStyle w:val="0"/>
            </w:pPr>
            <w:r>
              <w:rPr>
                <w:sz w:val="20"/>
              </w:rPr>
            </w:r>
          </w:p>
        </w:tc>
      </w:tr>
    </w:tbl>
    <w:p>
      <w:pPr>
        <w:pStyle w:val="0"/>
      </w:pPr>
      <w:r>
        <w:rPr>
          <w:sz w:val="20"/>
        </w:rPr>
      </w:r>
    </w:p>
    <w:p>
      <w:pPr>
        <w:pStyle w:val="2"/>
        <w:outlineLvl w:val="2"/>
        <w:jc w:val="center"/>
      </w:pPr>
      <w:r>
        <w:rPr>
          <w:sz w:val="20"/>
        </w:rPr>
        <w:t xml:space="preserve">Прогноз потребности отраслей экономики Тульской области</w:t>
      </w:r>
    </w:p>
    <w:p>
      <w:pPr>
        <w:pStyle w:val="2"/>
        <w:jc w:val="center"/>
      </w:pPr>
      <w:r>
        <w:rPr>
          <w:sz w:val="20"/>
        </w:rPr>
        <w:t xml:space="preserve">в специалистах различных профессионально-квалификационных</w:t>
      </w:r>
    </w:p>
    <w:p>
      <w:pPr>
        <w:pStyle w:val="2"/>
        <w:jc w:val="center"/>
      </w:pPr>
      <w:r>
        <w:rPr>
          <w:sz w:val="20"/>
        </w:rPr>
        <w:t xml:space="preserve">групп в 2028 году, тыс. человек</w:t>
      </w:r>
    </w:p>
    <w:p>
      <w:pPr>
        <w:pStyle w:val="0"/>
      </w:pPr>
      <w:r>
        <w:rPr>
          <w:sz w:val="20"/>
        </w:rPr>
      </w:r>
    </w:p>
    <w:p>
      <w:pPr>
        <w:pStyle w:val="0"/>
        <w:outlineLvl w:val="3"/>
        <w:jc w:val="right"/>
      </w:pPr>
      <w:r>
        <w:rPr>
          <w:sz w:val="20"/>
        </w:rPr>
        <w:t xml:space="preserve">Таблица 3</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624"/>
        <w:gridCol w:w="680"/>
        <w:gridCol w:w="737"/>
        <w:gridCol w:w="624"/>
        <w:gridCol w:w="737"/>
        <w:gridCol w:w="624"/>
        <w:gridCol w:w="794"/>
        <w:gridCol w:w="624"/>
        <w:gridCol w:w="797"/>
      </w:tblGrid>
      <w:tr>
        <w:tc>
          <w:tcPr>
            <w:tcW w:w="2778" w:type="dxa"/>
            <w:vMerge w:val="restart"/>
          </w:tcPr>
          <w:p>
            <w:pPr>
              <w:pStyle w:val="0"/>
              <w:jc w:val="center"/>
            </w:pPr>
            <w:r>
              <w:rPr>
                <w:sz w:val="20"/>
              </w:rPr>
              <w:t xml:space="preserve">Виды экономической деятельности</w:t>
            </w:r>
          </w:p>
        </w:tc>
        <w:tc>
          <w:tcPr>
            <w:gridSpan w:val="9"/>
            <w:tcW w:w="6241" w:type="dxa"/>
          </w:tcPr>
          <w:p>
            <w:pPr>
              <w:pStyle w:val="0"/>
              <w:jc w:val="center"/>
            </w:pPr>
            <w:r>
              <w:rPr>
                <w:sz w:val="20"/>
              </w:rPr>
              <w:t xml:space="preserve">Группы занятий &lt;*&gt;</w:t>
            </w:r>
          </w:p>
        </w:tc>
      </w:tr>
      <w:tr>
        <w:tc>
          <w:tcPr>
            <w:vMerge w:val="continue"/>
          </w:tcPr>
          <w:p/>
        </w:tc>
        <w:tc>
          <w:tcPr>
            <w:tcW w:w="624" w:type="dxa"/>
          </w:tcPr>
          <w:p>
            <w:pPr>
              <w:pStyle w:val="0"/>
              <w:jc w:val="center"/>
            </w:pPr>
            <w:r>
              <w:rPr>
                <w:sz w:val="20"/>
              </w:rPr>
              <w:t xml:space="preserve">1</w:t>
            </w:r>
          </w:p>
        </w:tc>
        <w:tc>
          <w:tcPr>
            <w:tcW w:w="680" w:type="dxa"/>
          </w:tcPr>
          <w:p>
            <w:pPr>
              <w:pStyle w:val="0"/>
              <w:jc w:val="center"/>
            </w:pPr>
            <w:r>
              <w:rPr>
                <w:sz w:val="20"/>
              </w:rPr>
              <w:t xml:space="preserve">2</w:t>
            </w:r>
          </w:p>
        </w:tc>
        <w:tc>
          <w:tcPr>
            <w:tcW w:w="737" w:type="dxa"/>
          </w:tcPr>
          <w:p>
            <w:pPr>
              <w:pStyle w:val="0"/>
              <w:jc w:val="center"/>
            </w:pPr>
            <w:r>
              <w:rPr>
                <w:sz w:val="20"/>
              </w:rPr>
              <w:t xml:space="preserve">3</w:t>
            </w:r>
          </w:p>
        </w:tc>
        <w:tc>
          <w:tcPr>
            <w:tcW w:w="624" w:type="dxa"/>
          </w:tcPr>
          <w:p>
            <w:pPr>
              <w:pStyle w:val="0"/>
              <w:jc w:val="center"/>
            </w:pPr>
            <w:r>
              <w:rPr>
                <w:sz w:val="20"/>
              </w:rPr>
              <w:t xml:space="preserve">4</w:t>
            </w:r>
          </w:p>
        </w:tc>
        <w:tc>
          <w:tcPr>
            <w:tcW w:w="737" w:type="dxa"/>
          </w:tcPr>
          <w:p>
            <w:pPr>
              <w:pStyle w:val="0"/>
              <w:jc w:val="center"/>
            </w:pPr>
            <w:r>
              <w:rPr>
                <w:sz w:val="20"/>
              </w:rPr>
              <w:t xml:space="preserve">5</w:t>
            </w:r>
          </w:p>
        </w:tc>
        <w:tc>
          <w:tcPr>
            <w:tcW w:w="624" w:type="dxa"/>
          </w:tcPr>
          <w:p>
            <w:pPr>
              <w:pStyle w:val="0"/>
              <w:jc w:val="center"/>
            </w:pPr>
            <w:r>
              <w:rPr>
                <w:sz w:val="20"/>
              </w:rPr>
              <w:t xml:space="preserve">6</w:t>
            </w:r>
          </w:p>
        </w:tc>
        <w:tc>
          <w:tcPr>
            <w:tcW w:w="794" w:type="dxa"/>
          </w:tcPr>
          <w:p>
            <w:pPr>
              <w:pStyle w:val="0"/>
              <w:jc w:val="center"/>
            </w:pPr>
            <w:r>
              <w:rPr>
                <w:sz w:val="20"/>
              </w:rPr>
              <w:t xml:space="preserve">7</w:t>
            </w:r>
          </w:p>
        </w:tc>
        <w:tc>
          <w:tcPr>
            <w:tcW w:w="624" w:type="dxa"/>
          </w:tcPr>
          <w:p>
            <w:pPr>
              <w:pStyle w:val="0"/>
              <w:jc w:val="center"/>
            </w:pPr>
            <w:r>
              <w:rPr>
                <w:sz w:val="20"/>
              </w:rPr>
              <w:t xml:space="preserve">8</w:t>
            </w:r>
          </w:p>
        </w:tc>
        <w:tc>
          <w:tcPr>
            <w:tcW w:w="797" w:type="dxa"/>
          </w:tcPr>
          <w:p>
            <w:pPr>
              <w:pStyle w:val="0"/>
              <w:jc w:val="center"/>
            </w:pPr>
            <w:r>
              <w:rPr>
                <w:sz w:val="20"/>
              </w:rPr>
              <w:t xml:space="preserve">9</w:t>
            </w:r>
          </w:p>
        </w:tc>
      </w:tr>
      <w:tr>
        <w:tc>
          <w:tcPr>
            <w:tcW w:w="2778" w:type="dxa"/>
          </w:tcPr>
          <w:p>
            <w:pPr>
              <w:pStyle w:val="0"/>
            </w:pPr>
            <w:r>
              <w:rPr>
                <w:sz w:val="20"/>
              </w:rPr>
              <w:t xml:space="preserve">Сельское, лесное хозяйство, охота, рыболовство и рыбоводство</w:t>
            </w:r>
          </w:p>
        </w:tc>
        <w:tc>
          <w:tcPr>
            <w:tcW w:w="624" w:type="dxa"/>
          </w:tcPr>
          <w:p>
            <w:pPr>
              <w:pStyle w:val="0"/>
              <w:jc w:val="center"/>
            </w:pPr>
            <w:r>
              <w:rPr>
                <w:sz w:val="20"/>
              </w:rPr>
              <w:t xml:space="preserve">2,8</w:t>
            </w:r>
          </w:p>
        </w:tc>
        <w:tc>
          <w:tcPr>
            <w:tcW w:w="680" w:type="dxa"/>
          </w:tcPr>
          <w:p>
            <w:pPr>
              <w:pStyle w:val="0"/>
              <w:jc w:val="center"/>
            </w:pPr>
            <w:r>
              <w:rPr>
                <w:sz w:val="20"/>
              </w:rPr>
              <w:t xml:space="preserve">4,3</w:t>
            </w:r>
          </w:p>
        </w:tc>
        <w:tc>
          <w:tcPr>
            <w:tcW w:w="737" w:type="dxa"/>
          </w:tcPr>
          <w:p>
            <w:pPr>
              <w:pStyle w:val="0"/>
              <w:jc w:val="center"/>
            </w:pPr>
            <w:r>
              <w:rPr>
                <w:sz w:val="20"/>
              </w:rPr>
              <w:t xml:space="preserve">2,0</w:t>
            </w:r>
          </w:p>
        </w:tc>
        <w:tc>
          <w:tcPr>
            <w:tcW w:w="624" w:type="dxa"/>
          </w:tcPr>
          <w:p>
            <w:pPr>
              <w:pStyle w:val="0"/>
              <w:jc w:val="center"/>
            </w:pPr>
            <w:r>
              <w:rPr>
                <w:sz w:val="20"/>
              </w:rPr>
              <w:t xml:space="preserve">1,6</w:t>
            </w:r>
          </w:p>
        </w:tc>
        <w:tc>
          <w:tcPr>
            <w:tcW w:w="737" w:type="dxa"/>
          </w:tcPr>
          <w:p>
            <w:pPr>
              <w:pStyle w:val="0"/>
              <w:jc w:val="center"/>
            </w:pPr>
            <w:r>
              <w:rPr>
                <w:sz w:val="20"/>
              </w:rPr>
              <w:t xml:space="preserve">2,1</w:t>
            </w:r>
          </w:p>
        </w:tc>
        <w:tc>
          <w:tcPr>
            <w:tcW w:w="624" w:type="dxa"/>
          </w:tcPr>
          <w:p>
            <w:pPr>
              <w:pStyle w:val="0"/>
              <w:jc w:val="center"/>
            </w:pPr>
            <w:r>
              <w:rPr>
                <w:sz w:val="20"/>
              </w:rPr>
              <w:t xml:space="preserve">7,1</w:t>
            </w:r>
          </w:p>
        </w:tc>
        <w:tc>
          <w:tcPr>
            <w:tcW w:w="794" w:type="dxa"/>
          </w:tcPr>
          <w:p>
            <w:pPr>
              <w:pStyle w:val="0"/>
              <w:jc w:val="center"/>
            </w:pPr>
            <w:r>
              <w:rPr>
                <w:sz w:val="20"/>
              </w:rPr>
              <w:t xml:space="preserve">3,6</w:t>
            </w:r>
          </w:p>
        </w:tc>
        <w:tc>
          <w:tcPr>
            <w:tcW w:w="624" w:type="dxa"/>
          </w:tcPr>
          <w:p>
            <w:pPr>
              <w:pStyle w:val="0"/>
              <w:jc w:val="center"/>
            </w:pPr>
            <w:r>
              <w:rPr>
                <w:sz w:val="20"/>
              </w:rPr>
              <w:t xml:space="preserve">10,2</w:t>
            </w:r>
          </w:p>
        </w:tc>
        <w:tc>
          <w:tcPr>
            <w:tcW w:w="797" w:type="dxa"/>
          </w:tcPr>
          <w:p>
            <w:pPr>
              <w:pStyle w:val="0"/>
              <w:jc w:val="center"/>
            </w:pPr>
            <w:r>
              <w:rPr>
                <w:sz w:val="20"/>
              </w:rPr>
              <w:t xml:space="preserve">6,9</w:t>
            </w:r>
          </w:p>
        </w:tc>
      </w:tr>
      <w:tr>
        <w:tc>
          <w:tcPr>
            <w:tcW w:w="2778" w:type="dxa"/>
          </w:tcPr>
          <w:p>
            <w:pPr>
              <w:pStyle w:val="0"/>
            </w:pPr>
            <w:r>
              <w:rPr>
                <w:sz w:val="20"/>
              </w:rPr>
              <w:t xml:space="preserve">Добыча полезных ископаемых</w:t>
            </w:r>
          </w:p>
        </w:tc>
        <w:tc>
          <w:tcPr>
            <w:tcW w:w="624" w:type="dxa"/>
          </w:tcPr>
          <w:p>
            <w:pPr>
              <w:pStyle w:val="0"/>
              <w:jc w:val="center"/>
            </w:pPr>
            <w:r>
              <w:rPr>
                <w:sz w:val="20"/>
              </w:rPr>
              <w:t xml:space="preserve">0,2</w:t>
            </w:r>
          </w:p>
        </w:tc>
        <w:tc>
          <w:tcPr>
            <w:tcW w:w="680" w:type="dxa"/>
          </w:tcPr>
          <w:p>
            <w:pPr>
              <w:pStyle w:val="0"/>
              <w:jc w:val="center"/>
            </w:pPr>
            <w:r>
              <w:rPr>
                <w:sz w:val="20"/>
              </w:rPr>
              <w:t xml:space="preserve">0,1</w:t>
            </w:r>
          </w:p>
        </w:tc>
        <w:tc>
          <w:tcPr>
            <w:tcW w:w="737" w:type="dxa"/>
          </w:tcPr>
          <w:p>
            <w:pPr>
              <w:pStyle w:val="0"/>
              <w:jc w:val="center"/>
            </w:pPr>
            <w:r>
              <w:rPr>
                <w:sz w:val="20"/>
              </w:rPr>
              <w:t xml:space="preserve">0,1</w:t>
            </w:r>
          </w:p>
        </w:tc>
        <w:tc>
          <w:tcPr>
            <w:tcW w:w="624" w:type="dxa"/>
          </w:tcPr>
          <w:p>
            <w:pPr>
              <w:pStyle w:val="0"/>
              <w:jc w:val="center"/>
            </w:pPr>
            <w:r>
              <w:rPr>
                <w:sz w:val="20"/>
              </w:rPr>
              <w:t xml:space="preserve">0,1</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1,1</w:t>
            </w:r>
          </w:p>
        </w:tc>
        <w:tc>
          <w:tcPr>
            <w:tcW w:w="797" w:type="dxa"/>
          </w:tcPr>
          <w:p>
            <w:pPr>
              <w:pStyle w:val="0"/>
              <w:jc w:val="center"/>
            </w:pPr>
            <w:r>
              <w:rPr>
                <w:sz w:val="20"/>
              </w:rPr>
              <w:t xml:space="preserve">0,1</w:t>
            </w:r>
          </w:p>
        </w:tc>
      </w:tr>
      <w:tr>
        <w:tc>
          <w:tcPr>
            <w:tcW w:w="2778" w:type="dxa"/>
          </w:tcPr>
          <w:p>
            <w:pPr>
              <w:pStyle w:val="0"/>
            </w:pPr>
            <w:r>
              <w:rPr>
                <w:sz w:val="20"/>
              </w:rPr>
              <w:t xml:space="preserve">Обрабатывающие производства</w:t>
            </w:r>
          </w:p>
        </w:tc>
        <w:tc>
          <w:tcPr>
            <w:tcW w:w="624" w:type="dxa"/>
          </w:tcPr>
          <w:p>
            <w:pPr>
              <w:pStyle w:val="0"/>
              <w:jc w:val="center"/>
            </w:pPr>
            <w:r>
              <w:rPr>
                <w:sz w:val="20"/>
              </w:rPr>
              <w:t xml:space="preserve">15,3</w:t>
            </w:r>
          </w:p>
        </w:tc>
        <w:tc>
          <w:tcPr>
            <w:tcW w:w="680" w:type="dxa"/>
          </w:tcPr>
          <w:p>
            <w:pPr>
              <w:pStyle w:val="0"/>
              <w:jc w:val="center"/>
            </w:pPr>
            <w:r>
              <w:rPr>
                <w:sz w:val="20"/>
              </w:rPr>
              <w:t xml:space="preserve">24,4</w:t>
            </w:r>
          </w:p>
        </w:tc>
        <w:tc>
          <w:tcPr>
            <w:tcW w:w="737" w:type="dxa"/>
          </w:tcPr>
          <w:p>
            <w:pPr>
              <w:pStyle w:val="0"/>
              <w:jc w:val="center"/>
            </w:pPr>
            <w:r>
              <w:rPr>
                <w:sz w:val="20"/>
              </w:rPr>
              <w:t xml:space="preserve">14,2</w:t>
            </w:r>
          </w:p>
        </w:tc>
        <w:tc>
          <w:tcPr>
            <w:tcW w:w="624" w:type="dxa"/>
          </w:tcPr>
          <w:p>
            <w:pPr>
              <w:pStyle w:val="0"/>
              <w:jc w:val="center"/>
            </w:pPr>
            <w:r>
              <w:rPr>
                <w:sz w:val="20"/>
              </w:rPr>
              <w:t xml:space="preserve">6,9</w:t>
            </w:r>
          </w:p>
        </w:tc>
        <w:tc>
          <w:tcPr>
            <w:tcW w:w="737" w:type="dxa"/>
          </w:tcPr>
          <w:p>
            <w:pPr>
              <w:pStyle w:val="0"/>
              <w:jc w:val="center"/>
            </w:pPr>
            <w:r>
              <w:rPr>
                <w:sz w:val="20"/>
              </w:rPr>
              <w:t xml:space="preserve">3,5</w:t>
            </w:r>
          </w:p>
        </w:tc>
        <w:tc>
          <w:tcPr>
            <w:tcW w:w="624" w:type="dxa"/>
          </w:tcPr>
          <w:p>
            <w:pPr>
              <w:pStyle w:val="0"/>
              <w:jc w:val="center"/>
            </w:pPr>
            <w:r>
              <w:rPr>
                <w:sz w:val="20"/>
              </w:rPr>
              <w:t xml:space="preserve">0,2</w:t>
            </w:r>
          </w:p>
        </w:tc>
        <w:tc>
          <w:tcPr>
            <w:tcW w:w="794" w:type="dxa"/>
          </w:tcPr>
          <w:p>
            <w:pPr>
              <w:pStyle w:val="0"/>
              <w:jc w:val="center"/>
            </w:pPr>
            <w:r>
              <w:rPr>
                <w:sz w:val="20"/>
              </w:rPr>
              <w:t xml:space="preserve">55,4</w:t>
            </w:r>
          </w:p>
        </w:tc>
        <w:tc>
          <w:tcPr>
            <w:tcW w:w="624" w:type="dxa"/>
          </w:tcPr>
          <w:p>
            <w:pPr>
              <w:pStyle w:val="0"/>
              <w:jc w:val="center"/>
            </w:pPr>
            <w:r>
              <w:rPr>
                <w:sz w:val="20"/>
              </w:rPr>
              <w:t xml:space="preserve">34,1</w:t>
            </w:r>
          </w:p>
        </w:tc>
        <w:tc>
          <w:tcPr>
            <w:tcW w:w="797" w:type="dxa"/>
          </w:tcPr>
          <w:p>
            <w:pPr>
              <w:pStyle w:val="0"/>
              <w:jc w:val="center"/>
            </w:pPr>
            <w:r>
              <w:rPr>
                <w:sz w:val="20"/>
              </w:rPr>
              <w:t xml:space="preserve">15,1</w:t>
            </w:r>
          </w:p>
        </w:tc>
      </w:tr>
      <w:tr>
        <w:tc>
          <w:tcPr>
            <w:tcW w:w="2778" w:type="dxa"/>
          </w:tcPr>
          <w:p>
            <w:pPr>
              <w:pStyle w:val="0"/>
            </w:pPr>
            <w:r>
              <w:rPr>
                <w:sz w:val="20"/>
              </w:rPr>
              <w:t xml:space="preserve">Обеспечение электроэнергией, газом и паром; кондиционирование воздуха</w:t>
            </w:r>
          </w:p>
        </w:tc>
        <w:tc>
          <w:tcPr>
            <w:tcW w:w="624" w:type="dxa"/>
          </w:tcPr>
          <w:p>
            <w:pPr>
              <w:pStyle w:val="0"/>
              <w:jc w:val="center"/>
            </w:pPr>
            <w:r>
              <w:rPr>
                <w:sz w:val="20"/>
              </w:rPr>
              <w:t xml:space="preserve">1,4</w:t>
            </w:r>
          </w:p>
        </w:tc>
        <w:tc>
          <w:tcPr>
            <w:tcW w:w="680" w:type="dxa"/>
          </w:tcPr>
          <w:p>
            <w:pPr>
              <w:pStyle w:val="0"/>
              <w:jc w:val="center"/>
            </w:pPr>
            <w:r>
              <w:rPr>
                <w:sz w:val="20"/>
              </w:rPr>
              <w:t xml:space="preserve">2,9</w:t>
            </w:r>
          </w:p>
        </w:tc>
        <w:tc>
          <w:tcPr>
            <w:tcW w:w="737" w:type="dxa"/>
          </w:tcPr>
          <w:p>
            <w:pPr>
              <w:pStyle w:val="0"/>
              <w:jc w:val="center"/>
            </w:pPr>
            <w:r>
              <w:rPr>
                <w:sz w:val="20"/>
              </w:rPr>
              <w:t xml:space="preserve">1,9</w:t>
            </w:r>
          </w:p>
        </w:tc>
        <w:tc>
          <w:tcPr>
            <w:tcW w:w="624" w:type="dxa"/>
          </w:tcPr>
          <w:p>
            <w:pPr>
              <w:pStyle w:val="0"/>
              <w:jc w:val="center"/>
            </w:pPr>
            <w:r>
              <w:rPr>
                <w:sz w:val="20"/>
              </w:rPr>
              <w:t xml:space="preserve">0,6</w:t>
            </w:r>
          </w:p>
        </w:tc>
        <w:tc>
          <w:tcPr>
            <w:tcW w:w="737" w:type="dxa"/>
          </w:tcPr>
          <w:p>
            <w:pPr>
              <w:pStyle w:val="0"/>
              <w:jc w:val="center"/>
            </w:pPr>
            <w:r>
              <w:rPr>
                <w:sz w:val="20"/>
              </w:rPr>
              <w:t xml:space="preserve">0,2</w:t>
            </w:r>
          </w:p>
        </w:tc>
        <w:tc>
          <w:tcPr>
            <w:tcW w:w="624" w:type="dxa"/>
          </w:tcPr>
          <w:p>
            <w:pPr>
              <w:pStyle w:val="0"/>
              <w:jc w:val="center"/>
            </w:pPr>
            <w:r>
              <w:rPr>
                <w:sz w:val="20"/>
              </w:rPr>
              <w:t xml:space="preserve">0,0</w:t>
            </w:r>
          </w:p>
        </w:tc>
        <w:tc>
          <w:tcPr>
            <w:tcW w:w="794" w:type="dxa"/>
          </w:tcPr>
          <w:p>
            <w:pPr>
              <w:pStyle w:val="0"/>
              <w:jc w:val="center"/>
            </w:pPr>
            <w:r>
              <w:rPr>
                <w:sz w:val="20"/>
              </w:rPr>
              <w:t xml:space="preserve">5,7</w:t>
            </w:r>
          </w:p>
        </w:tc>
        <w:tc>
          <w:tcPr>
            <w:tcW w:w="624" w:type="dxa"/>
          </w:tcPr>
          <w:p>
            <w:pPr>
              <w:pStyle w:val="0"/>
              <w:jc w:val="center"/>
            </w:pPr>
            <w:r>
              <w:rPr>
                <w:sz w:val="20"/>
              </w:rPr>
              <w:t xml:space="preserve">3,9</w:t>
            </w:r>
          </w:p>
        </w:tc>
        <w:tc>
          <w:tcPr>
            <w:tcW w:w="797" w:type="dxa"/>
          </w:tcPr>
          <w:p>
            <w:pPr>
              <w:pStyle w:val="0"/>
              <w:jc w:val="center"/>
            </w:pPr>
            <w:r>
              <w:rPr>
                <w:sz w:val="20"/>
              </w:rPr>
              <w:t xml:space="preserve">0,4</w:t>
            </w:r>
          </w:p>
        </w:tc>
      </w:tr>
      <w:tr>
        <w:tc>
          <w:tcPr>
            <w:tcW w:w="2778" w:type="dxa"/>
          </w:tcPr>
          <w:p>
            <w:pPr>
              <w:pStyle w:val="0"/>
            </w:pPr>
            <w:r>
              <w:rPr>
                <w:sz w:val="20"/>
              </w:rPr>
              <w:t xml:space="preserve">Водоснабжение; водоотведение, организация сбора и утилизации отходов, деятельность по ликвидации загрязнений</w:t>
            </w:r>
          </w:p>
        </w:tc>
        <w:tc>
          <w:tcPr>
            <w:tcW w:w="624" w:type="dxa"/>
          </w:tcPr>
          <w:p>
            <w:pPr>
              <w:pStyle w:val="0"/>
              <w:jc w:val="center"/>
            </w:pPr>
            <w:r>
              <w:rPr>
                <w:sz w:val="20"/>
              </w:rPr>
              <w:t xml:space="preserve">0,7</w:t>
            </w:r>
          </w:p>
        </w:tc>
        <w:tc>
          <w:tcPr>
            <w:tcW w:w="680" w:type="dxa"/>
          </w:tcPr>
          <w:p>
            <w:pPr>
              <w:pStyle w:val="0"/>
              <w:jc w:val="center"/>
            </w:pPr>
            <w:r>
              <w:rPr>
                <w:sz w:val="20"/>
              </w:rPr>
              <w:t xml:space="preserve">0,9</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0,0</w:t>
            </w:r>
          </w:p>
        </w:tc>
        <w:tc>
          <w:tcPr>
            <w:tcW w:w="624" w:type="dxa"/>
          </w:tcPr>
          <w:p>
            <w:pPr>
              <w:pStyle w:val="0"/>
              <w:jc w:val="center"/>
            </w:pPr>
            <w:r>
              <w:rPr>
                <w:sz w:val="20"/>
              </w:rPr>
              <w:t xml:space="preserve">0,0</w:t>
            </w:r>
          </w:p>
        </w:tc>
        <w:tc>
          <w:tcPr>
            <w:tcW w:w="794" w:type="dxa"/>
          </w:tcPr>
          <w:p>
            <w:pPr>
              <w:pStyle w:val="0"/>
              <w:jc w:val="center"/>
            </w:pPr>
            <w:r>
              <w:rPr>
                <w:sz w:val="20"/>
              </w:rPr>
              <w:t xml:space="preserve">1,9</w:t>
            </w:r>
          </w:p>
        </w:tc>
        <w:tc>
          <w:tcPr>
            <w:tcW w:w="624" w:type="dxa"/>
          </w:tcPr>
          <w:p>
            <w:pPr>
              <w:pStyle w:val="0"/>
              <w:jc w:val="center"/>
            </w:pPr>
            <w:r>
              <w:rPr>
                <w:sz w:val="20"/>
              </w:rPr>
              <w:t xml:space="preserve">1,9</w:t>
            </w:r>
          </w:p>
        </w:tc>
        <w:tc>
          <w:tcPr>
            <w:tcW w:w="797" w:type="dxa"/>
          </w:tcPr>
          <w:p>
            <w:pPr>
              <w:pStyle w:val="0"/>
              <w:jc w:val="center"/>
            </w:pPr>
            <w:r>
              <w:rPr>
                <w:sz w:val="20"/>
              </w:rPr>
              <w:t xml:space="preserve">0,4</w:t>
            </w:r>
          </w:p>
        </w:tc>
      </w:tr>
      <w:tr>
        <w:tc>
          <w:tcPr>
            <w:tcW w:w="2778" w:type="dxa"/>
          </w:tcPr>
          <w:p>
            <w:pPr>
              <w:pStyle w:val="0"/>
            </w:pPr>
            <w:r>
              <w:rPr>
                <w:sz w:val="20"/>
              </w:rPr>
              <w:t xml:space="preserve">Строительство</w:t>
            </w:r>
          </w:p>
        </w:tc>
        <w:tc>
          <w:tcPr>
            <w:tcW w:w="624" w:type="dxa"/>
          </w:tcPr>
          <w:p>
            <w:pPr>
              <w:pStyle w:val="0"/>
              <w:jc w:val="center"/>
            </w:pPr>
            <w:r>
              <w:rPr>
                <w:sz w:val="20"/>
              </w:rPr>
              <w:t xml:space="preserve">8,9</w:t>
            </w:r>
          </w:p>
        </w:tc>
        <w:tc>
          <w:tcPr>
            <w:tcW w:w="680" w:type="dxa"/>
          </w:tcPr>
          <w:p>
            <w:pPr>
              <w:pStyle w:val="0"/>
              <w:jc w:val="center"/>
            </w:pPr>
            <w:r>
              <w:rPr>
                <w:sz w:val="20"/>
              </w:rPr>
              <w:t xml:space="preserve">10,8</w:t>
            </w:r>
          </w:p>
        </w:tc>
        <w:tc>
          <w:tcPr>
            <w:tcW w:w="737" w:type="dxa"/>
          </w:tcPr>
          <w:p>
            <w:pPr>
              <w:pStyle w:val="0"/>
              <w:jc w:val="center"/>
            </w:pPr>
            <w:r>
              <w:rPr>
                <w:sz w:val="20"/>
              </w:rPr>
              <w:t xml:space="preserve">5,5</w:t>
            </w:r>
          </w:p>
        </w:tc>
        <w:tc>
          <w:tcPr>
            <w:tcW w:w="624" w:type="dxa"/>
          </w:tcPr>
          <w:p>
            <w:pPr>
              <w:pStyle w:val="0"/>
              <w:jc w:val="center"/>
            </w:pPr>
            <w:r>
              <w:rPr>
                <w:sz w:val="20"/>
              </w:rPr>
              <w:t xml:space="preserve">1,2</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19,4</w:t>
            </w:r>
          </w:p>
        </w:tc>
        <w:tc>
          <w:tcPr>
            <w:tcW w:w="624" w:type="dxa"/>
          </w:tcPr>
          <w:p>
            <w:pPr>
              <w:pStyle w:val="0"/>
              <w:jc w:val="center"/>
            </w:pPr>
            <w:r>
              <w:rPr>
                <w:sz w:val="20"/>
              </w:rPr>
              <w:t xml:space="preserve">10,2</w:t>
            </w:r>
          </w:p>
        </w:tc>
        <w:tc>
          <w:tcPr>
            <w:tcW w:w="797" w:type="dxa"/>
          </w:tcPr>
          <w:p>
            <w:pPr>
              <w:pStyle w:val="0"/>
              <w:jc w:val="center"/>
            </w:pPr>
            <w:r>
              <w:rPr>
                <w:sz w:val="20"/>
              </w:rPr>
              <w:t xml:space="preserve">4,4</w:t>
            </w:r>
          </w:p>
        </w:tc>
      </w:tr>
      <w:tr>
        <w:tc>
          <w:tcPr>
            <w:tcW w:w="2778" w:type="dxa"/>
          </w:tcPr>
          <w:p>
            <w:pPr>
              <w:pStyle w:val="0"/>
            </w:pPr>
            <w:r>
              <w:rPr>
                <w:sz w:val="20"/>
              </w:rPr>
              <w:t xml:space="preserve">Торговля оптовая и розничная; ремонт автотранспортных средств и мотоциклов</w:t>
            </w:r>
          </w:p>
        </w:tc>
        <w:tc>
          <w:tcPr>
            <w:tcW w:w="624" w:type="dxa"/>
          </w:tcPr>
          <w:p>
            <w:pPr>
              <w:pStyle w:val="0"/>
              <w:jc w:val="center"/>
            </w:pPr>
            <w:r>
              <w:rPr>
                <w:sz w:val="20"/>
              </w:rPr>
              <w:t xml:space="preserve">17,4</w:t>
            </w:r>
          </w:p>
        </w:tc>
        <w:tc>
          <w:tcPr>
            <w:tcW w:w="680" w:type="dxa"/>
          </w:tcPr>
          <w:p>
            <w:pPr>
              <w:pStyle w:val="0"/>
              <w:jc w:val="center"/>
            </w:pPr>
            <w:r>
              <w:rPr>
                <w:sz w:val="20"/>
              </w:rPr>
              <w:t xml:space="preserve">12,7</w:t>
            </w:r>
          </w:p>
        </w:tc>
        <w:tc>
          <w:tcPr>
            <w:tcW w:w="737" w:type="dxa"/>
          </w:tcPr>
          <w:p>
            <w:pPr>
              <w:pStyle w:val="0"/>
              <w:jc w:val="center"/>
            </w:pPr>
            <w:r>
              <w:rPr>
                <w:sz w:val="20"/>
              </w:rPr>
              <w:t xml:space="preserve">15,7</w:t>
            </w:r>
          </w:p>
        </w:tc>
        <w:tc>
          <w:tcPr>
            <w:tcW w:w="624" w:type="dxa"/>
          </w:tcPr>
          <w:p>
            <w:pPr>
              <w:pStyle w:val="0"/>
              <w:jc w:val="center"/>
            </w:pPr>
            <w:r>
              <w:rPr>
                <w:sz w:val="20"/>
              </w:rPr>
              <w:t xml:space="preserve">3,3</w:t>
            </w:r>
          </w:p>
        </w:tc>
        <w:tc>
          <w:tcPr>
            <w:tcW w:w="737" w:type="dxa"/>
          </w:tcPr>
          <w:p>
            <w:pPr>
              <w:pStyle w:val="0"/>
              <w:jc w:val="center"/>
            </w:pPr>
            <w:r>
              <w:rPr>
                <w:sz w:val="20"/>
              </w:rPr>
              <w:t xml:space="preserve">48,0</w:t>
            </w:r>
          </w:p>
        </w:tc>
        <w:tc>
          <w:tcPr>
            <w:tcW w:w="624" w:type="dxa"/>
          </w:tcPr>
          <w:p>
            <w:pPr>
              <w:pStyle w:val="0"/>
              <w:jc w:val="center"/>
            </w:pPr>
            <w:r>
              <w:rPr>
                <w:sz w:val="20"/>
              </w:rPr>
              <w:t xml:space="preserve">0,1</w:t>
            </w:r>
          </w:p>
        </w:tc>
        <w:tc>
          <w:tcPr>
            <w:tcW w:w="794" w:type="dxa"/>
          </w:tcPr>
          <w:p>
            <w:pPr>
              <w:pStyle w:val="0"/>
              <w:jc w:val="center"/>
            </w:pPr>
            <w:r>
              <w:rPr>
                <w:sz w:val="20"/>
              </w:rPr>
              <w:t xml:space="preserve">10,1</w:t>
            </w:r>
          </w:p>
        </w:tc>
        <w:tc>
          <w:tcPr>
            <w:tcW w:w="624" w:type="dxa"/>
          </w:tcPr>
          <w:p>
            <w:pPr>
              <w:pStyle w:val="0"/>
              <w:jc w:val="center"/>
            </w:pPr>
            <w:r>
              <w:rPr>
                <w:sz w:val="20"/>
              </w:rPr>
              <w:t xml:space="preserve">7,2</w:t>
            </w:r>
          </w:p>
        </w:tc>
        <w:tc>
          <w:tcPr>
            <w:tcW w:w="797" w:type="dxa"/>
          </w:tcPr>
          <w:p>
            <w:pPr>
              <w:pStyle w:val="0"/>
              <w:jc w:val="center"/>
            </w:pPr>
            <w:r>
              <w:rPr>
                <w:sz w:val="20"/>
              </w:rPr>
              <w:t xml:space="preserve">10,6</w:t>
            </w:r>
          </w:p>
        </w:tc>
      </w:tr>
      <w:tr>
        <w:tc>
          <w:tcPr>
            <w:tcW w:w="2778" w:type="dxa"/>
          </w:tcPr>
          <w:p>
            <w:pPr>
              <w:pStyle w:val="0"/>
            </w:pPr>
            <w:r>
              <w:rPr>
                <w:sz w:val="20"/>
              </w:rPr>
              <w:t xml:space="preserve">Транспортировка и хранение</w:t>
            </w:r>
          </w:p>
        </w:tc>
        <w:tc>
          <w:tcPr>
            <w:tcW w:w="624" w:type="dxa"/>
          </w:tcPr>
          <w:p>
            <w:pPr>
              <w:pStyle w:val="0"/>
              <w:jc w:val="center"/>
            </w:pPr>
            <w:r>
              <w:rPr>
                <w:sz w:val="20"/>
              </w:rPr>
              <w:t xml:space="preserve">2,6</w:t>
            </w:r>
          </w:p>
        </w:tc>
        <w:tc>
          <w:tcPr>
            <w:tcW w:w="680" w:type="dxa"/>
          </w:tcPr>
          <w:p>
            <w:pPr>
              <w:pStyle w:val="0"/>
              <w:jc w:val="center"/>
            </w:pPr>
            <w:r>
              <w:rPr>
                <w:sz w:val="20"/>
              </w:rPr>
              <w:t xml:space="preserve">2,6</w:t>
            </w:r>
          </w:p>
        </w:tc>
        <w:tc>
          <w:tcPr>
            <w:tcW w:w="737" w:type="dxa"/>
          </w:tcPr>
          <w:p>
            <w:pPr>
              <w:pStyle w:val="0"/>
              <w:jc w:val="center"/>
            </w:pPr>
            <w:r>
              <w:rPr>
                <w:sz w:val="20"/>
              </w:rPr>
              <w:t xml:space="preserve">2,6</w:t>
            </w:r>
          </w:p>
        </w:tc>
        <w:tc>
          <w:tcPr>
            <w:tcW w:w="624" w:type="dxa"/>
          </w:tcPr>
          <w:p>
            <w:pPr>
              <w:pStyle w:val="0"/>
              <w:jc w:val="center"/>
            </w:pPr>
            <w:r>
              <w:rPr>
                <w:sz w:val="20"/>
              </w:rPr>
              <w:t xml:space="preserve">18,5</w:t>
            </w:r>
          </w:p>
        </w:tc>
        <w:tc>
          <w:tcPr>
            <w:tcW w:w="737" w:type="dxa"/>
          </w:tcPr>
          <w:p>
            <w:pPr>
              <w:pStyle w:val="0"/>
              <w:jc w:val="center"/>
            </w:pPr>
            <w:r>
              <w:rPr>
                <w:sz w:val="20"/>
              </w:rPr>
              <w:t xml:space="preserve">4,3</w:t>
            </w:r>
          </w:p>
        </w:tc>
        <w:tc>
          <w:tcPr>
            <w:tcW w:w="624" w:type="dxa"/>
          </w:tcPr>
          <w:p>
            <w:pPr>
              <w:pStyle w:val="0"/>
              <w:jc w:val="center"/>
            </w:pPr>
            <w:r>
              <w:rPr>
                <w:sz w:val="20"/>
              </w:rPr>
              <w:t xml:space="preserve">0,0</w:t>
            </w:r>
          </w:p>
        </w:tc>
        <w:tc>
          <w:tcPr>
            <w:tcW w:w="794" w:type="dxa"/>
          </w:tcPr>
          <w:p>
            <w:pPr>
              <w:pStyle w:val="0"/>
              <w:jc w:val="center"/>
            </w:pPr>
            <w:r>
              <w:rPr>
                <w:sz w:val="20"/>
              </w:rPr>
              <w:t xml:space="preserve">6,2</w:t>
            </w:r>
          </w:p>
        </w:tc>
        <w:tc>
          <w:tcPr>
            <w:tcW w:w="624" w:type="dxa"/>
          </w:tcPr>
          <w:p>
            <w:pPr>
              <w:pStyle w:val="0"/>
              <w:jc w:val="center"/>
            </w:pPr>
            <w:r>
              <w:rPr>
                <w:sz w:val="20"/>
              </w:rPr>
              <w:t xml:space="preserve">17,6</w:t>
            </w:r>
          </w:p>
        </w:tc>
        <w:tc>
          <w:tcPr>
            <w:tcW w:w="797" w:type="dxa"/>
          </w:tcPr>
          <w:p>
            <w:pPr>
              <w:pStyle w:val="0"/>
              <w:jc w:val="center"/>
            </w:pPr>
            <w:r>
              <w:rPr>
                <w:sz w:val="20"/>
              </w:rPr>
              <w:t xml:space="preserve">3,2</w:t>
            </w:r>
          </w:p>
        </w:tc>
      </w:tr>
      <w:tr>
        <w:tc>
          <w:tcPr>
            <w:tcW w:w="2778" w:type="dxa"/>
          </w:tcPr>
          <w:p>
            <w:pPr>
              <w:pStyle w:val="0"/>
            </w:pPr>
            <w:r>
              <w:rPr>
                <w:sz w:val="20"/>
              </w:rPr>
              <w:t xml:space="preserve">Деятельность гостиниц и предприятий общественного питания</w:t>
            </w:r>
          </w:p>
        </w:tc>
        <w:tc>
          <w:tcPr>
            <w:tcW w:w="624" w:type="dxa"/>
          </w:tcPr>
          <w:p>
            <w:pPr>
              <w:pStyle w:val="0"/>
              <w:jc w:val="center"/>
            </w:pPr>
            <w:r>
              <w:rPr>
                <w:sz w:val="20"/>
              </w:rPr>
              <w:t xml:space="preserve">1,8</w:t>
            </w:r>
          </w:p>
        </w:tc>
        <w:tc>
          <w:tcPr>
            <w:tcW w:w="680" w:type="dxa"/>
          </w:tcPr>
          <w:p>
            <w:pPr>
              <w:pStyle w:val="0"/>
              <w:jc w:val="center"/>
            </w:pPr>
            <w:r>
              <w:rPr>
                <w:sz w:val="20"/>
              </w:rPr>
              <w:t xml:space="preserve">1,4</w:t>
            </w:r>
          </w:p>
        </w:tc>
        <w:tc>
          <w:tcPr>
            <w:tcW w:w="737" w:type="dxa"/>
          </w:tcPr>
          <w:p>
            <w:pPr>
              <w:pStyle w:val="0"/>
              <w:jc w:val="center"/>
            </w:pPr>
            <w:r>
              <w:rPr>
                <w:sz w:val="20"/>
              </w:rPr>
              <w:t xml:space="preserve">3,2</w:t>
            </w:r>
          </w:p>
        </w:tc>
        <w:tc>
          <w:tcPr>
            <w:tcW w:w="624" w:type="dxa"/>
          </w:tcPr>
          <w:p>
            <w:pPr>
              <w:pStyle w:val="0"/>
              <w:jc w:val="center"/>
            </w:pPr>
            <w:r>
              <w:rPr>
                <w:sz w:val="20"/>
              </w:rPr>
              <w:t xml:space="preserve">0,3</w:t>
            </w:r>
          </w:p>
        </w:tc>
        <w:tc>
          <w:tcPr>
            <w:tcW w:w="737" w:type="dxa"/>
          </w:tcPr>
          <w:p>
            <w:pPr>
              <w:pStyle w:val="0"/>
              <w:jc w:val="center"/>
            </w:pPr>
            <w:r>
              <w:rPr>
                <w:sz w:val="20"/>
              </w:rPr>
              <w:t xml:space="preserve">8,1</w:t>
            </w:r>
          </w:p>
        </w:tc>
        <w:tc>
          <w:tcPr>
            <w:tcW w:w="624" w:type="dxa"/>
          </w:tcPr>
          <w:p>
            <w:pPr>
              <w:pStyle w:val="0"/>
              <w:jc w:val="center"/>
            </w:pPr>
            <w:r>
              <w:rPr>
                <w:sz w:val="20"/>
              </w:rPr>
              <w:t xml:space="preserve">0,1</w:t>
            </w:r>
          </w:p>
        </w:tc>
        <w:tc>
          <w:tcPr>
            <w:tcW w:w="794" w:type="dxa"/>
          </w:tcPr>
          <w:p>
            <w:pPr>
              <w:pStyle w:val="0"/>
              <w:jc w:val="center"/>
            </w:pPr>
            <w:r>
              <w:rPr>
                <w:sz w:val="20"/>
              </w:rPr>
              <w:t xml:space="preserve">1,1</w:t>
            </w:r>
          </w:p>
        </w:tc>
        <w:tc>
          <w:tcPr>
            <w:tcW w:w="624" w:type="dxa"/>
          </w:tcPr>
          <w:p>
            <w:pPr>
              <w:pStyle w:val="0"/>
              <w:jc w:val="center"/>
            </w:pPr>
            <w:r>
              <w:rPr>
                <w:sz w:val="20"/>
              </w:rPr>
              <w:t xml:space="preserve">0,4</w:t>
            </w:r>
          </w:p>
        </w:tc>
        <w:tc>
          <w:tcPr>
            <w:tcW w:w="797" w:type="dxa"/>
          </w:tcPr>
          <w:p>
            <w:pPr>
              <w:pStyle w:val="0"/>
              <w:jc w:val="center"/>
            </w:pPr>
            <w:r>
              <w:rPr>
                <w:sz w:val="20"/>
              </w:rPr>
              <w:t xml:space="preserve">3,8</w:t>
            </w:r>
          </w:p>
        </w:tc>
      </w:tr>
      <w:tr>
        <w:tc>
          <w:tcPr>
            <w:tcW w:w="2778" w:type="dxa"/>
          </w:tcPr>
          <w:p>
            <w:pPr>
              <w:pStyle w:val="0"/>
            </w:pPr>
            <w:r>
              <w:rPr>
                <w:sz w:val="20"/>
              </w:rPr>
              <w:t xml:space="preserve">Деятельность в области информации и связи</w:t>
            </w:r>
          </w:p>
        </w:tc>
        <w:tc>
          <w:tcPr>
            <w:tcW w:w="624" w:type="dxa"/>
          </w:tcPr>
          <w:p>
            <w:pPr>
              <w:pStyle w:val="0"/>
              <w:jc w:val="center"/>
            </w:pPr>
            <w:r>
              <w:rPr>
                <w:sz w:val="20"/>
              </w:rPr>
              <w:t xml:space="preserve">2,2</w:t>
            </w:r>
          </w:p>
        </w:tc>
        <w:tc>
          <w:tcPr>
            <w:tcW w:w="680" w:type="dxa"/>
          </w:tcPr>
          <w:p>
            <w:pPr>
              <w:pStyle w:val="0"/>
              <w:jc w:val="center"/>
            </w:pPr>
            <w:r>
              <w:rPr>
                <w:sz w:val="20"/>
              </w:rPr>
              <w:t xml:space="preserve">7,3</w:t>
            </w:r>
          </w:p>
        </w:tc>
        <w:tc>
          <w:tcPr>
            <w:tcW w:w="737" w:type="dxa"/>
          </w:tcPr>
          <w:p>
            <w:pPr>
              <w:pStyle w:val="0"/>
              <w:jc w:val="center"/>
            </w:pPr>
            <w:r>
              <w:rPr>
                <w:sz w:val="20"/>
              </w:rPr>
              <w:t xml:space="preserve">1,4</w:t>
            </w:r>
          </w:p>
        </w:tc>
        <w:tc>
          <w:tcPr>
            <w:tcW w:w="624" w:type="dxa"/>
          </w:tcPr>
          <w:p>
            <w:pPr>
              <w:pStyle w:val="0"/>
              <w:jc w:val="center"/>
            </w:pPr>
            <w:r>
              <w:rPr>
                <w:sz w:val="20"/>
              </w:rPr>
              <w:t xml:space="preserve">1,0</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1,0</w:t>
            </w:r>
          </w:p>
        </w:tc>
        <w:tc>
          <w:tcPr>
            <w:tcW w:w="624" w:type="dxa"/>
          </w:tcPr>
          <w:p>
            <w:pPr>
              <w:pStyle w:val="0"/>
              <w:jc w:val="center"/>
            </w:pPr>
            <w:r>
              <w:rPr>
                <w:sz w:val="20"/>
              </w:rPr>
              <w:t xml:space="preserve">0,2</w:t>
            </w:r>
          </w:p>
        </w:tc>
        <w:tc>
          <w:tcPr>
            <w:tcW w:w="797" w:type="dxa"/>
          </w:tcPr>
          <w:p>
            <w:pPr>
              <w:pStyle w:val="0"/>
              <w:jc w:val="center"/>
            </w:pPr>
            <w:r>
              <w:rPr>
                <w:sz w:val="20"/>
              </w:rPr>
              <w:t xml:space="preserve">0,1</w:t>
            </w:r>
          </w:p>
        </w:tc>
      </w:tr>
      <w:tr>
        <w:tc>
          <w:tcPr>
            <w:tcW w:w="2778" w:type="dxa"/>
          </w:tcPr>
          <w:p>
            <w:pPr>
              <w:pStyle w:val="0"/>
            </w:pPr>
            <w:r>
              <w:rPr>
                <w:sz w:val="20"/>
              </w:rPr>
              <w:t xml:space="preserve">Деятельность финансовая и страховая</w:t>
            </w:r>
          </w:p>
        </w:tc>
        <w:tc>
          <w:tcPr>
            <w:tcW w:w="624" w:type="dxa"/>
          </w:tcPr>
          <w:p>
            <w:pPr>
              <w:pStyle w:val="0"/>
              <w:jc w:val="center"/>
            </w:pPr>
            <w:r>
              <w:rPr>
                <w:sz w:val="20"/>
              </w:rPr>
              <w:t xml:space="preserve">1,6</w:t>
            </w:r>
          </w:p>
        </w:tc>
        <w:tc>
          <w:tcPr>
            <w:tcW w:w="680" w:type="dxa"/>
          </w:tcPr>
          <w:p>
            <w:pPr>
              <w:pStyle w:val="0"/>
              <w:jc w:val="center"/>
            </w:pPr>
            <w:r>
              <w:rPr>
                <w:sz w:val="20"/>
              </w:rPr>
              <w:t xml:space="preserve">4,0</w:t>
            </w:r>
          </w:p>
        </w:tc>
        <w:tc>
          <w:tcPr>
            <w:tcW w:w="737" w:type="dxa"/>
          </w:tcPr>
          <w:p>
            <w:pPr>
              <w:pStyle w:val="0"/>
              <w:jc w:val="center"/>
            </w:pPr>
            <w:r>
              <w:rPr>
                <w:sz w:val="20"/>
              </w:rPr>
              <w:t xml:space="preserve">3,3</w:t>
            </w:r>
          </w:p>
        </w:tc>
        <w:tc>
          <w:tcPr>
            <w:tcW w:w="624" w:type="dxa"/>
          </w:tcPr>
          <w:p>
            <w:pPr>
              <w:pStyle w:val="0"/>
              <w:jc w:val="center"/>
            </w:pPr>
            <w:r>
              <w:rPr>
                <w:sz w:val="20"/>
              </w:rPr>
              <w:t xml:space="preserve">0,4</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0,1</w:t>
            </w:r>
          </w:p>
        </w:tc>
        <w:tc>
          <w:tcPr>
            <w:tcW w:w="624" w:type="dxa"/>
          </w:tcPr>
          <w:p>
            <w:pPr>
              <w:pStyle w:val="0"/>
              <w:jc w:val="center"/>
            </w:pPr>
            <w:r>
              <w:rPr>
                <w:sz w:val="20"/>
              </w:rPr>
              <w:t xml:space="preserve">0,1</w:t>
            </w:r>
          </w:p>
        </w:tc>
        <w:tc>
          <w:tcPr>
            <w:tcW w:w="797" w:type="dxa"/>
          </w:tcPr>
          <w:p>
            <w:pPr>
              <w:pStyle w:val="0"/>
              <w:jc w:val="center"/>
            </w:pPr>
            <w:r>
              <w:rPr>
                <w:sz w:val="20"/>
              </w:rPr>
              <w:t xml:space="preserve">0,2</w:t>
            </w:r>
          </w:p>
        </w:tc>
      </w:tr>
      <w:tr>
        <w:tc>
          <w:tcPr>
            <w:tcW w:w="2778" w:type="dxa"/>
          </w:tcPr>
          <w:p>
            <w:pPr>
              <w:pStyle w:val="0"/>
            </w:pPr>
            <w:r>
              <w:rPr>
                <w:sz w:val="20"/>
              </w:rPr>
              <w:t xml:space="preserve">Деятельность по операциям с недвижимым имуществом</w:t>
            </w:r>
          </w:p>
        </w:tc>
        <w:tc>
          <w:tcPr>
            <w:tcW w:w="624" w:type="dxa"/>
          </w:tcPr>
          <w:p>
            <w:pPr>
              <w:pStyle w:val="0"/>
              <w:jc w:val="center"/>
            </w:pPr>
            <w:r>
              <w:rPr>
                <w:sz w:val="20"/>
              </w:rPr>
              <w:t xml:space="preserve">2,6</w:t>
            </w:r>
          </w:p>
        </w:tc>
        <w:tc>
          <w:tcPr>
            <w:tcW w:w="680" w:type="dxa"/>
          </w:tcPr>
          <w:p>
            <w:pPr>
              <w:pStyle w:val="0"/>
              <w:jc w:val="center"/>
            </w:pPr>
            <w:r>
              <w:rPr>
                <w:sz w:val="20"/>
              </w:rPr>
              <w:t xml:space="preserve">2,7</w:t>
            </w:r>
          </w:p>
        </w:tc>
        <w:tc>
          <w:tcPr>
            <w:tcW w:w="737" w:type="dxa"/>
          </w:tcPr>
          <w:p>
            <w:pPr>
              <w:pStyle w:val="0"/>
              <w:jc w:val="center"/>
            </w:pPr>
            <w:r>
              <w:rPr>
                <w:sz w:val="20"/>
              </w:rPr>
              <w:t xml:space="preserve">1,9</w:t>
            </w:r>
          </w:p>
        </w:tc>
        <w:tc>
          <w:tcPr>
            <w:tcW w:w="624" w:type="dxa"/>
          </w:tcPr>
          <w:p>
            <w:pPr>
              <w:pStyle w:val="0"/>
              <w:jc w:val="center"/>
            </w:pPr>
            <w:r>
              <w:rPr>
                <w:sz w:val="20"/>
              </w:rPr>
              <w:t xml:space="preserve">1,1</w:t>
            </w:r>
          </w:p>
        </w:tc>
        <w:tc>
          <w:tcPr>
            <w:tcW w:w="737" w:type="dxa"/>
          </w:tcPr>
          <w:p>
            <w:pPr>
              <w:pStyle w:val="0"/>
              <w:jc w:val="center"/>
            </w:pPr>
            <w:r>
              <w:rPr>
                <w:sz w:val="20"/>
              </w:rPr>
              <w:t xml:space="preserve">1,4</w:t>
            </w:r>
          </w:p>
        </w:tc>
        <w:tc>
          <w:tcPr>
            <w:tcW w:w="624" w:type="dxa"/>
          </w:tcPr>
          <w:p>
            <w:pPr>
              <w:pStyle w:val="0"/>
              <w:jc w:val="center"/>
            </w:pPr>
            <w:r>
              <w:rPr>
                <w:sz w:val="20"/>
              </w:rPr>
              <w:t xml:space="preserve">0,1</w:t>
            </w:r>
          </w:p>
        </w:tc>
        <w:tc>
          <w:tcPr>
            <w:tcW w:w="794" w:type="dxa"/>
          </w:tcPr>
          <w:p>
            <w:pPr>
              <w:pStyle w:val="0"/>
              <w:jc w:val="center"/>
            </w:pPr>
            <w:r>
              <w:rPr>
                <w:sz w:val="20"/>
              </w:rPr>
              <w:t xml:space="preserve">4,8</w:t>
            </w:r>
          </w:p>
        </w:tc>
        <w:tc>
          <w:tcPr>
            <w:tcW w:w="624" w:type="dxa"/>
          </w:tcPr>
          <w:p>
            <w:pPr>
              <w:pStyle w:val="0"/>
              <w:jc w:val="center"/>
            </w:pPr>
            <w:r>
              <w:rPr>
                <w:sz w:val="20"/>
              </w:rPr>
              <w:t xml:space="preserve">1,3</w:t>
            </w:r>
          </w:p>
        </w:tc>
        <w:tc>
          <w:tcPr>
            <w:tcW w:w="797" w:type="dxa"/>
          </w:tcPr>
          <w:p>
            <w:pPr>
              <w:pStyle w:val="0"/>
              <w:jc w:val="center"/>
            </w:pPr>
            <w:r>
              <w:rPr>
                <w:sz w:val="20"/>
              </w:rPr>
              <w:t xml:space="preserve">3,5</w:t>
            </w:r>
          </w:p>
        </w:tc>
      </w:tr>
      <w:tr>
        <w:tc>
          <w:tcPr>
            <w:tcW w:w="2778" w:type="dxa"/>
          </w:tcPr>
          <w:p>
            <w:pPr>
              <w:pStyle w:val="0"/>
            </w:pPr>
            <w:r>
              <w:rPr>
                <w:sz w:val="20"/>
              </w:rPr>
              <w:t xml:space="preserve">Деятельность профессиональная, научная и техническая</w:t>
            </w:r>
          </w:p>
        </w:tc>
        <w:tc>
          <w:tcPr>
            <w:tcW w:w="624" w:type="dxa"/>
          </w:tcPr>
          <w:p>
            <w:pPr>
              <w:pStyle w:val="0"/>
              <w:jc w:val="center"/>
            </w:pPr>
            <w:r>
              <w:rPr>
                <w:sz w:val="20"/>
              </w:rPr>
              <w:t xml:space="preserve">3,1</w:t>
            </w:r>
          </w:p>
        </w:tc>
        <w:tc>
          <w:tcPr>
            <w:tcW w:w="680" w:type="dxa"/>
          </w:tcPr>
          <w:p>
            <w:pPr>
              <w:pStyle w:val="0"/>
              <w:jc w:val="center"/>
            </w:pPr>
            <w:r>
              <w:rPr>
                <w:sz w:val="20"/>
              </w:rPr>
              <w:t xml:space="preserve">11,0</w:t>
            </w:r>
          </w:p>
        </w:tc>
        <w:tc>
          <w:tcPr>
            <w:tcW w:w="737" w:type="dxa"/>
          </w:tcPr>
          <w:p>
            <w:pPr>
              <w:pStyle w:val="0"/>
              <w:jc w:val="center"/>
            </w:pPr>
            <w:r>
              <w:rPr>
                <w:sz w:val="20"/>
              </w:rPr>
              <w:t xml:space="preserve">1,9</w:t>
            </w:r>
          </w:p>
        </w:tc>
        <w:tc>
          <w:tcPr>
            <w:tcW w:w="624" w:type="dxa"/>
          </w:tcPr>
          <w:p>
            <w:pPr>
              <w:pStyle w:val="0"/>
              <w:jc w:val="center"/>
            </w:pPr>
            <w:r>
              <w:rPr>
                <w:sz w:val="20"/>
              </w:rPr>
              <w:t xml:space="preserve">0,5</w:t>
            </w:r>
          </w:p>
        </w:tc>
        <w:tc>
          <w:tcPr>
            <w:tcW w:w="737" w:type="dxa"/>
          </w:tcPr>
          <w:p>
            <w:pPr>
              <w:pStyle w:val="0"/>
              <w:jc w:val="center"/>
            </w:pPr>
            <w:r>
              <w:rPr>
                <w:sz w:val="20"/>
              </w:rPr>
              <w:t xml:space="preserve">0,3</w:t>
            </w:r>
          </w:p>
        </w:tc>
        <w:tc>
          <w:tcPr>
            <w:tcW w:w="624" w:type="dxa"/>
          </w:tcPr>
          <w:p>
            <w:pPr>
              <w:pStyle w:val="0"/>
              <w:jc w:val="center"/>
            </w:pPr>
            <w:r>
              <w:rPr>
                <w:sz w:val="20"/>
              </w:rPr>
              <w:t xml:space="preserve">0,0</w:t>
            </w:r>
          </w:p>
        </w:tc>
        <w:tc>
          <w:tcPr>
            <w:tcW w:w="794" w:type="dxa"/>
          </w:tcPr>
          <w:p>
            <w:pPr>
              <w:pStyle w:val="0"/>
              <w:jc w:val="center"/>
            </w:pPr>
            <w:r>
              <w:rPr>
                <w:sz w:val="20"/>
              </w:rPr>
              <w:t xml:space="preserve">1,0</w:t>
            </w:r>
          </w:p>
        </w:tc>
        <w:tc>
          <w:tcPr>
            <w:tcW w:w="624" w:type="dxa"/>
          </w:tcPr>
          <w:p>
            <w:pPr>
              <w:pStyle w:val="0"/>
              <w:jc w:val="center"/>
            </w:pPr>
            <w:r>
              <w:rPr>
                <w:sz w:val="20"/>
              </w:rPr>
              <w:t xml:space="preserve">0,5</w:t>
            </w:r>
          </w:p>
        </w:tc>
        <w:tc>
          <w:tcPr>
            <w:tcW w:w="797" w:type="dxa"/>
          </w:tcPr>
          <w:p>
            <w:pPr>
              <w:pStyle w:val="0"/>
              <w:jc w:val="center"/>
            </w:pPr>
            <w:r>
              <w:rPr>
                <w:sz w:val="20"/>
              </w:rPr>
              <w:t xml:space="preserve">0,8</w:t>
            </w:r>
          </w:p>
        </w:tc>
      </w:tr>
      <w:tr>
        <w:tc>
          <w:tcPr>
            <w:tcW w:w="2778" w:type="dxa"/>
          </w:tcPr>
          <w:p>
            <w:pPr>
              <w:pStyle w:val="0"/>
            </w:pPr>
            <w:r>
              <w:rPr>
                <w:sz w:val="20"/>
              </w:rPr>
              <w:t xml:space="preserve">Деятельность административная и сопутствующие дополнительные услуги</w:t>
            </w:r>
          </w:p>
        </w:tc>
        <w:tc>
          <w:tcPr>
            <w:tcW w:w="624" w:type="dxa"/>
          </w:tcPr>
          <w:p>
            <w:pPr>
              <w:pStyle w:val="0"/>
              <w:jc w:val="center"/>
            </w:pPr>
            <w:r>
              <w:rPr>
                <w:sz w:val="20"/>
              </w:rPr>
              <w:t xml:space="preserve">1,8</w:t>
            </w:r>
          </w:p>
        </w:tc>
        <w:tc>
          <w:tcPr>
            <w:tcW w:w="680" w:type="dxa"/>
          </w:tcPr>
          <w:p>
            <w:pPr>
              <w:pStyle w:val="0"/>
              <w:jc w:val="center"/>
            </w:pPr>
            <w:r>
              <w:rPr>
                <w:sz w:val="20"/>
              </w:rPr>
              <w:t xml:space="preserve">1,4</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10,5</w:t>
            </w:r>
          </w:p>
        </w:tc>
        <w:tc>
          <w:tcPr>
            <w:tcW w:w="624" w:type="dxa"/>
          </w:tcPr>
          <w:p>
            <w:pPr>
              <w:pStyle w:val="0"/>
              <w:jc w:val="center"/>
            </w:pPr>
            <w:r>
              <w:rPr>
                <w:sz w:val="20"/>
              </w:rPr>
              <w:t xml:space="preserve">0,1</w:t>
            </w:r>
          </w:p>
        </w:tc>
        <w:tc>
          <w:tcPr>
            <w:tcW w:w="794" w:type="dxa"/>
          </w:tcPr>
          <w:p>
            <w:pPr>
              <w:pStyle w:val="0"/>
              <w:jc w:val="center"/>
            </w:pPr>
            <w:r>
              <w:rPr>
                <w:sz w:val="20"/>
              </w:rPr>
              <w:t xml:space="preserve">0,6</w:t>
            </w:r>
          </w:p>
        </w:tc>
        <w:tc>
          <w:tcPr>
            <w:tcW w:w="624" w:type="dxa"/>
          </w:tcPr>
          <w:p>
            <w:pPr>
              <w:pStyle w:val="0"/>
              <w:jc w:val="center"/>
            </w:pPr>
            <w:r>
              <w:rPr>
                <w:sz w:val="20"/>
              </w:rPr>
              <w:t xml:space="preserve">1,4</w:t>
            </w:r>
          </w:p>
        </w:tc>
        <w:tc>
          <w:tcPr>
            <w:tcW w:w="797" w:type="dxa"/>
          </w:tcPr>
          <w:p>
            <w:pPr>
              <w:pStyle w:val="0"/>
              <w:jc w:val="center"/>
            </w:pPr>
            <w:r>
              <w:rPr>
                <w:sz w:val="20"/>
              </w:rPr>
              <w:t xml:space="preserve">2,4</w:t>
            </w:r>
          </w:p>
        </w:tc>
      </w:tr>
      <w:tr>
        <w:tc>
          <w:tcPr>
            <w:tcW w:w="2778" w:type="dxa"/>
          </w:tcPr>
          <w:p>
            <w:pPr>
              <w:pStyle w:val="0"/>
            </w:pPr>
            <w:r>
              <w:rPr>
                <w:sz w:val="20"/>
              </w:rPr>
              <w:t xml:space="preserve">Госуправление и обеспечение военной безопасности; соцобеспечение</w:t>
            </w:r>
          </w:p>
        </w:tc>
        <w:tc>
          <w:tcPr>
            <w:tcW w:w="624" w:type="dxa"/>
          </w:tcPr>
          <w:p>
            <w:pPr>
              <w:pStyle w:val="0"/>
              <w:jc w:val="center"/>
            </w:pPr>
            <w:r>
              <w:rPr>
                <w:sz w:val="20"/>
              </w:rPr>
              <w:t xml:space="preserve">4,1</w:t>
            </w:r>
          </w:p>
        </w:tc>
        <w:tc>
          <w:tcPr>
            <w:tcW w:w="680" w:type="dxa"/>
          </w:tcPr>
          <w:p>
            <w:pPr>
              <w:pStyle w:val="0"/>
              <w:jc w:val="center"/>
            </w:pPr>
            <w:r>
              <w:rPr>
                <w:sz w:val="20"/>
              </w:rPr>
              <w:t xml:space="preserve">12,7</w:t>
            </w:r>
          </w:p>
        </w:tc>
        <w:tc>
          <w:tcPr>
            <w:tcW w:w="737" w:type="dxa"/>
          </w:tcPr>
          <w:p>
            <w:pPr>
              <w:pStyle w:val="0"/>
              <w:jc w:val="center"/>
            </w:pPr>
            <w:r>
              <w:rPr>
                <w:sz w:val="20"/>
              </w:rPr>
              <w:t xml:space="preserve">6,3</w:t>
            </w:r>
          </w:p>
        </w:tc>
        <w:tc>
          <w:tcPr>
            <w:tcW w:w="624" w:type="dxa"/>
          </w:tcPr>
          <w:p>
            <w:pPr>
              <w:pStyle w:val="0"/>
              <w:jc w:val="center"/>
            </w:pPr>
            <w:r>
              <w:rPr>
                <w:sz w:val="20"/>
              </w:rPr>
              <w:t xml:space="preserve">1,3</w:t>
            </w:r>
          </w:p>
        </w:tc>
        <w:tc>
          <w:tcPr>
            <w:tcW w:w="737" w:type="dxa"/>
          </w:tcPr>
          <w:p>
            <w:pPr>
              <w:pStyle w:val="0"/>
              <w:jc w:val="center"/>
            </w:pPr>
            <w:r>
              <w:rPr>
                <w:sz w:val="20"/>
              </w:rPr>
              <w:t xml:space="preserve">3,7</w:t>
            </w:r>
          </w:p>
        </w:tc>
        <w:tc>
          <w:tcPr>
            <w:tcW w:w="624" w:type="dxa"/>
          </w:tcPr>
          <w:p>
            <w:pPr>
              <w:pStyle w:val="0"/>
              <w:jc w:val="center"/>
            </w:pPr>
            <w:r>
              <w:rPr>
                <w:sz w:val="20"/>
              </w:rPr>
              <w:t xml:space="preserve">0,0</w:t>
            </w:r>
          </w:p>
        </w:tc>
        <w:tc>
          <w:tcPr>
            <w:tcW w:w="794" w:type="dxa"/>
          </w:tcPr>
          <w:p>
            <w:pPr>
              <w:pStyle w:val="0"/>
              <w:jc w:val="center"/>
            </w:pPr>
            <w:r>
              <w:rPr>
                <w:sz w:val="20"/>
              </w:rPr>
              <w:t xml:space="preserve">0,3</w:t>
            </w:r>
          </w:p>
        </w:tc>
        <w:tc>
          <w:tcPr>
            <w:tcW w:w="624" w:type="dxa"/>
          </w:tcPr>
          <w:p>
            <w:pPr>
              <w:pStyle w:val="0"/>
              <w:jc w:val="center"/>
            </w:pPr>
            <w:r>
              <w:rPr>
                <w:sz w:val="20"/>
              </w:rPr>
              <w:t xml:space="preserve">1,3</w:t>
            </w:r>
          </w:p>
        </w:tc>
        <w:tc>
          <w:tcPr>
            <w:tcW w:w="797" w:type="dxa"/>
          </w:tcPr>
          <w:p>
            <w:pPr>
              <w:pStyle w:val="0"/>
              <w:jc w:val="center"/>
            </w:pPr>
            <w:r>
              <w:rPr>
                <w:sz w:val="20"/>
              </w:rPr>
              <w:t xml:space="preserve">0,6</w:t>
            </w:r>
          </w:p>
        </w:tc>
      </w:tr>
      <w:tr>
        <w:tc>
          <w:tcPr>
            <w:tcW w:w="2778" w:type="dxa"/>
          </w:tcPr>
          <w:p>
            <w:pPr>
              <w:pStyle w:val="0"/>
            </w:pPr>
            <w:r>
              <w:rPr>
                <w:sz w:val="20"/>
              </w:rPr>
              <w:t xml:space="preserve">Образование</w:t>
            </w:r>
          </w:p>
        </w:tc>
        <w:tc>
          <w:tcPr>
            <w:tcW w:w="624" w:type="dxa"/>
          </w:tcPr>
          <w:p>
            <w:pPr>
              <w:pStyle w:val="0"/>
              <w:jc w:val="center"/>
            </w:pPr>
            <w:r>
              <w:rPr>
                <w:sz w:val="20"/>
              </w:rPr>
              <w:t xml:space="preserve">5,0</w:t>
            </w:r>
          </w:p>
        </w:tc>
        <w:tc>
          <w:tcPr>
            <w:tcW w:w="680" w:type="dxa"/>
          </w:tcPr>
          <w:p>
            <w:pPr>
              <w:pStyle w:val="0"/>
              <w:jc w:val="center"/>
            </w:pPr>
            <w:r>
              <w:rPr>
                <w:sz w:val="20"/>
              </w:rPr>
              <w:t xml:space="preserve">29,4</w:t>
            </w:r>
          </w:p>
        </w:tc>
        <w:tc>
          <w:tcPr>
            <w:tcW w:w="737" w:type="dxa"/>
          </w:tcPr>
          <w:p>
            <w:pPr>
              <w:pStyle w:val="0"/>
              <w:jc w:val="center"/>
            </w:pPr>
            <w:r>
              <w:rPr>
                <w:sz w:val="20"/>
              </w:rPr>
              <w:t xml:space="preserve">1,5</w:t>
            </w:r>
          </w:p>
        </w:tc>
        <w:tc>
          <w:tcPr>
            <w:tcW w:w="624" w:type="dxa"/>
          </w:tcPr>
          <w:p>
            <w:pPr>
              <w:pStyle w:val="0"/>
              <w:jc w:val="center"/>
            </w:pPr>
            <w:r>
              <w:rPr>
                <w:sz w:val="20"/>
              </w:rPr>
              <w:t xml:space="preserve">1,9</w:t>
            </w:r>
          </w:p>
        </w:tc>
        <w:tc>
          <w:tcPr>
            <w:tcW w:w="737" w:type="dxa"/>
          </w:tcPr>
          <w:p>
            <w:pPr>
              <w:pStyle w:val="0"/>
              <w:jc w:val="center"/>
            </w:pPr>
            <w:r>
              <w:rPr>
                <w:sz w:val="20"/>
              </w:rPr>
              <w:t xml:space="preserve">6,7</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0,9</w:t>
            </w:r>
          </w:p>
        </w:tc>
        <w:tc>
          <w:tcPr>
            <w:tcW w:w="797" w:type="dxa"/>
          </w:tcPr>
          <w:p>
            <w:pPr>
              <w:pStyle w:val="0"/>
              <w:jc w:val="center"/>
            </w:pPr>
            <w:r>
              <w:rPr>
                <w:sz w:val="20"/>
              </w:rPr>
              <w:t xml:space="preserve">6,2</w:t>
            </w:r>
          </w:p>
        </w:tc>
      </w:tr>
      <w:tr>
        <w:tc>
          <w:tcPr>
            <w:tcW w:w="2778" w:type="dxa"/>
          </w:tcPr>
          <w:p>
            <w:pPr>
              <w:pStyle w:val="0"/>
            </w:pPr>
            <w:r>
              <w:rPr>
                <w:sz w:val="20"/>
              </w:rPr>
              <w:t xml:space="preserve">Деятельность в области здравоохранения и социальных услуг</w:t>
            </w:r>
          </w:p>
        </w:tc>
        <w:tc>
          <w:tcPr>
            <w:tcW w:w="624" w:type="dxa"/>
          </w:tcPr>
          <w:p>
            <w:pPr>
              <w:pStyle w:val="0"/>
              <w:jc w:val="center"/>
            </w:pPr>
            <w:r>
              <w:rPr>
                <w:sz w:val="20"/>
              </w:rPr>
              <w:t xml:space="preserve">2,1</w:t>
            </w:r>
          </w:p>
        </w:tc>
        <w:tc>
          <w:tcPr>
            <w:tcW w:w="680" w:type="dxa"/>
          </w:tcPr>
          <w:p>
            <w:pPr>
              <w:pStyle w:val="0"/>
              <w:jc w:val="center"/>
            </w:pPr>
            <w:r>
              <w:rPr>
                <w:sz w:val="20"/>
              </w:rPr>
              <w:t xml:space="preserve">11,2</w:t>
            </w:r>
          </w:p>
        </w:tc>
        <w:tc>
          <w:tcPr>
            <w:tcW w:w="737" w:type="dxa"/>
          </w:tcPr>
          <w:p>
            <w:pPr>
              <w:pStyle w:val="0"/>
              <w:jc w:val="center"/>
            </w:pPr>
            <w:r>
              <w:rPr>
                <w:sz w:val="20"/>
              </w:rPr>
              <w:t xml:space="preserve">17,7</w:t>
            </w:r>
          </w:p>
        </w:tc>
        <w:tc>
          <w:tcPr>
            <w:tcW w:w="624" w:type="dxa"/>
          </w:tcPr>
          <w:p>
            <w:pPr>
              <w:pStyle w:val="0"/>
              <w:jc w:val="center"/>
            </w:pPr>
            <w:r>
              <w:rPr>
                <w:sz w:val="20"/>
              </w:rPr>
              <w:t xml:space="preserve">0,6</w:t>
            </w:r>
          </w:p>
        </w:tc>
        <w:tc>
          <w:tcPr>
            <w:tcW w:w="737" w:type="dxa"/>
          </w:tcPr>
          <w:p>
            <w:pPr>
              <w:pStyle w:val="0"/>
              <w:jc w:val="center"/>
            </w:pPr>
            <w:r>
              <w:rPr>
                <w:sz w:val="20"/>
              </w:rPr>
              <w:t xml:space="preserve">4,5</w:t>
            </w:r>
          </w:p>
        </w:tc>
        <w:tc>
          <w:tcPr>
            <w:tcW w:w="624" w:type="dxa"/>
          </w:tcPr>
          <w:p>
            <w:pPr>
              <w:pStyle w:val="0"/>
              <w:jc w:val="center"/>
            </w:pPr>
            <w:r>
              <w:rPr>
                <w:sz w:val="20"/>
              </w:rPr>
              <w:t xml:space="preserve">0,0</w:t>
            </w:r>
          </w:p>
        </w:tc>
        <w:tc>
          <w:tcPr>
            <w:tcW w:w="794" w:type="dxa"/>
          </w:tcPr>
          <w:p>
            <w:pPr>
              <w:pStyle w:val="0"/>
              <w:jc w:val="center"/>
            </w:pPr>
            <w:r>
              <w:rPr>
                <w:sz w:val="20"/>
              </w:rPr>
              <w:t xml:space="preserve">0,6</w:t>
            </w:r>
          </w:p>
        </w:tc>
        <w:tc>
          <w:tcPr>
            <w:tcW w:w="624" w:type="dxa"/>
          </w:tcPr>
          <w:p>
            <w:pPr>
              <w:pStyle w:val="0"/>
              <w:jc w:val="center"/>
            </w:pPr>
            <w:r>
              <w:rPr>
                <w:sz w:val="20"/>
              </w:rPr>
              <w:t xml:space="preserve">1,5</w:t>
            </w:r>
          </w:p>
        </w:tc>
        <w:tc>
          <w:tcPr>
            <w:tcW w:w="797" w:type="dxa"/>
          </w:tcPr>
          <w:p>
            <w:pPr>
              <w:pStyle w:val="0"/>
              <w:jc w:val="center"/>
            </w:pPr>
            <w:r>
              <w:rPr>
                <w:sz w:val="20"/>
              </w:rPr>
              <w:t xml:space="preserve">3,3</w:t>
            </w:r>
          </w:p>
        </w:tc>
      </w:tr>
      <w:tr>
        <w:tc>
          <w:tcPr>
            <w:tcW w:w="2778" w:type="dxa"/>
          </w:tcPr>
          <w:p>
            <w:pPr>
              <w:pStyle w:val="0"/>
            </w:pPr>
            <w:r>
              <w:rPr>
                <w:sz w:val="20"/>
              </w:rPr>
              <w:t xml:space="preserve">Деятельность в области культуры, спорта, организации досуга и пр.</w:t>
            </w:r>
          </w:p>
        </w:tc>
        <w:tc>
          <w:tcPr>
            <w:tcW w:w="624" w:type="dxa"/>
          </w:tcPr>
          <w:p>
            <w:pPr>
              <w:pStyle w:val="0"/>
              <w:jc w:val="center"/>
            </w:pPr>
            <w:r>
              <w:rPr>
                <w:sz w:val="20"/>
              </w:rPr>
              <w:t xml:space="preserve">1,6</w:t>
            </w:r>
          </w:p>
        </w:tc>
        <w:tc>
          <w:tcPr>
            <w:tcW w:w="680" w:type="dxa"/>
          </w:tcPr>
          <w:p>
            <w:pPr>
              <w:pStyle w:val="0"/>
              <w:jc w:val="center"/>
            </w:pPr>
            <w:r>
              <w:rPr>
                <w:sz w:val="20"/>
              </w:rPr>
              <w:t xml:space="preserve">4,5</w:t>
            </w:r>
          </w:p>
        </w:tc>
        <w:tc>
          <w:tcPr>
            <w:tcW w:w="737" w:type="dxa"/>
          </w:tcPr>
          <w:p>
            <w:pPr>
              <w:pStyle w:val="0"/>
              <w:jc w:val="center"/>
            </w:pPr>
            <w:r>
              <w:rPr>
                <w:sz w:val="20"/>
              </w:rPr>
              <w:t xml:space="preserve">2,2</w:t>
            </w:r>
          </w:p>
        </w:tc>
        <w:tc>
          <w:tcPr>
            <w:tcW w:w="624" w:type="dxa"/>
          </w:tcPr>
          <w:p>
            <w:pPr>
              <w:pStyle w:val="0"/>
              <w:jc w:val="center"/>
            </w:pPr>
            <w:r>
              <w:rPr>
                <w:sz w:val="20"/>
              </w:rPr>
              <w:t xml:space="preserve">0,5</w:t>
            </w:r>
          </w:p>
        </w:tc>
        <w:tc>
          <w:tcPr>
            <w:tcW w:w="737" w:type="dxa"/>
          </w:tcPr>
          <w:p>
            <w:pPr>
              <w:pStyle w:val="0"/>
              <w:jc w:val="center"/>
            </w:pPr>
            <w:r>
              <w:rPr>
                <w:sz w:val="20"/>
              </w:rPr>
              <w:t xml:space="preserve">0,9</w:t>
            </w:r>
          </w:p>
        </w:tc>
        <w:tc>
          <w:tcPr>
            <w:tcW w:w="624" w:type="dxa"/>
          </w:tcPr>
          <w:p>
            <w:pPr>
              <w:pStyle w:val="0"/>
              <w:jc w:val="center"/>
            </w:pPr>
            <w:r>
              <w:rPr>
                <w:sz w:val="20"/>
              </w:rPr>
              <w:t xml:space="preserve">0,1</w:t>
            </w:r>
          </w:p>
        </w:tc>
        <w:tc>
          <w:tcPr>
            <w:tcW w:w="794" w:type="dxa"/>
          </w:tcPr>
          <w:p>
            <w:pPr>
              <w:pStyle w:val="0"/>
              <w:jc w:val="center"/>
            </w:pPr>
            <w:r>
              <w:rPr>
                <w:sz w:val="20"/>
              </w:rPr>
              <w:t xml:space="preserve">0,2</w:t>
            </w:r>
          </w:p>
        </w:tc>
        <w:tc>
          <w:tcPr>
            <w:tcW w:w="624" w:type="dxa"/>
          </w:tcPr>
          <w:p>
            <w:pPr>
              <w:pStyle w:val="0"/>
              <w:jc w:val="center"/>
            </w:pPr>
            <w:r>
              <w:rPr>
                <w:sz w:val="20"/>
              </w:rPr>
              <w:t xml:space="preserve">0,2</w:t>
            </w:r>
          </w:p>
        </w:tc>
        <w:tc>
          <w:tcPr>
            <w:tcW w:w="797" w:type="dxa"/>
          </w:tcPr>
          <w:p>
            <w:pPr>
              <w:pStyle w:val="0"/>
              <w:jc w:val="center"/>
            </w:pPr>
            <w:r>
              <w:rPr>
                <w:sz w:val="20"/>
              </w:rPr>
              <w:t xml:space="preserve">1,1</w:t>
            </w:r>
          </w:p>
        </w:tc>
      </w:tr>
      <w:tr>
        <w:tc>
          <w:tcPr>
            <w:tcW w:w="2778" w:type="dxa"/>
          </w:tcPr>
          <w:p>
            <w:pPr>
              <w:pStyle w:val="0"/>
            </w:pPr>
            <w:r>
              <w:rPr>
                <w:sz w:val="20"/>
              </w:rPr>
              <w:t xml:space="preserve">Предоставление прочих видов услуг</w:t>
            </w:r>
          </w:p>
        </w:tc>
        <w:tc>
          <w:tcPr>
            <w:tcW w:w="624" w:type="dxa"/>
          </w:tcPr>
          <w:p>
            <w:pPr>
              <w:pStyle w:val="0"/>
              <w:jc w:val="center"/>
            </w:pPr>
            <w:r>
              <w:rPr>
                <w:sz w:val="20"/>
              </w:rPr>
              <w:t xml:space="preserve">2,1</w:t>
            </w:r>
          </w:p>
        </w:tc>
        <w:tc>
          <w:tcPr>
            <w:tcW w:w="680" w:type="dxa"/>
          </w:tcPr>
          <w:p>
            <w:pPr>
              <w:pStyle w:val="0"/>
              <w:jc w:val="center"/>
            </w:pPr>
            <w:r>
              <w:rPr>
                <w:sz w:val="20"/>
              </w:rPr>
              <w:t xml:space="preserve">2,3</w:t>
            </w:r>
          </w:p>
        </w:tc>
        <w:tc>
          <w:tcPr>
            <w:tcW w:w="737" w:type="dxa"/>
          </w:tcPr>
          <w:p>
            <w:pPr>
              <w:pStyle w:val="0"/>
              <w:jc w:val="center"/>
            </w:pPr>
            <w:r>
              <w:rPr>
                <w:sz w:val="20"/>
              </w:rPr>
              <w:t xml:space="preserve">4,0</w:t>
            </w:r>
          </w:p>
        </w:tc>
        <w:tc>
          <w:tcPr>
            <w:tcW w:w="624" w:type="dxa"/>
          </w:tcPr>
          <w:p>
            <w:pPr>
              <w:pStyle w:val="0"/>
              <w:jc w:val="center"/>
            </w:pPr>
            <w:r>
              <w:rPr>
                <w:sz w:val="20"/>
              </w:rPr>
              <w:t xml:space="preserve">0,2</w:t>
            </w:r>
          </w:p>
        </w:tc>
        <w:tc>
          <w:tcPr>
            <w:tcW w:w="737" w:type="dxa"/>
          </w:tcPr>
          <w:p>
            <w:pPr>
              <w:pStyle w:val="0"/>
              <w:jc w:val="center"/>
            </w:pPr>
            <w:r>
              <w:rPr>
                <w:sz w:val="20"/>
              </w:rPr>
              <w:t xml:space="preserve">7,5</w:t>
            </w:r>
          </w:p>
        </w:tc>
        <w:tc>
          <w:tcPr>
            <w:tcW w:w="624" w:type="dxa"/>
          </w:tcPr>
          <w:p>
            <w:pPr>
              <w:pStyle w:val="0"/>
              <w:jc w:val="center"/>
            </w:pPr>
            <w:r>
              <w:rPr>
                <w:sz w:val="20"/>
              </w:rPr>
              <w:t xml:space="preserve">0,0</w:t>
            </w:r>
          </w:p>
        </w:tc>
        <w:tc>
          <w:tcPr>
            <w:tcW w:w="794" w:type="dxa"/>
          </w:tcPr>
          <w:p>
            <w:pPr>
              <w:pStyle w:val="0"/>
              <w:jc w:val="center"/>
            </w:pPr>
            <w:r>
              <w:rPr>
                <w:sz w:val="20"/>
              </w:rPr>
              <w:t xml:space="preserve">1,3</w:t>
            </w:r>
          </w:p>
        </w:tc>
        <w:tc>
          <w:tcPr>
            <w:tcW w:w="624" w:type="dxa"/>
          </w:tcPr>
          <w:p>
            <w:pPr>
              <w:pStyle w:val="0"/>
              <w:jc w:val="center"/>
            </w:pPr>
            <w:r>
              <w:rPr>
                <w:sz w:val="20"/>
              </w:rPr>
              <w:t xml:space="preserve">1,5</w:t>
            </w:r>
          </w:p>
        </w:tc>
        <w:tc>
          <w:tcPr>
            <w:tcW w:w="797" w:type="dxa"/>
          </w:tcPr>
          <w:p>
            <w:pPr>
              <w:pStyle w:val="0"/>
              <w:jc w:val="center"/>
            </w:pPr>
            <w:r>
              <w:rPr>
                <w:sz w:val="20"/>
              </w:rPr>
              <w:t xml:space="preserve">3,1</w:t>
            </w:r>
          </w:p>
        </w:tc>
      </w:tr>
      <w:tr>
        <w:tc>
          <w:tcPr>
            <w:tcW w:w="2778" w:type="dxa"/>
          </w:tcPr>
          <w:p>
            <w:pPr>
              <w:pStyle w:val="0"/>
            </w:pPr>
            <w:r>
              <w:rPr>
                <w:sz w:val="20"/>
              </w:rPr>
              <w:t xml:space="preserve">Итого</w:t>
            </w:r>
          </w:p>
        </w:tc>
        <w:tc>
          <w:tcPr>
            <w:tcW w:w="624" w:type="dxa"/>
          </w:tcPr>
          <w:p>
            <w:pPr>
              <w:pStyle w:val="0"/>
              <w:jc w:val="center"/>
            </w:pPr>
            <w:r>
              <w:rPr>
                <w:sz w:val="20"/>
              </w:rPr>
              <w:t xml:space="preserve">77,3</w:t>
            </w:r>
          </w:p>
        </w:tc>
        <w:tc>
          <w:tcPr>
            <w:tcW w:w="680" w:type="dxa"/>
          </w:tcPr>
          <w:p>
            <w:pPr>
              <w:pStyle w:val="0"/>
              <w:jc w:val="center"/>
            </w:pPr>
            <w:r>
              <w:rPr>
                <w:sz w:val="20"/>
              </w:rPr>
              <w:t xml:space="preserve">146,6</w:t>
            </w:r>
          </w:p>
        </w:tc>
        <w:tc>
          <w:tcPr>
            <w:tcW w:w="737" w:type="dxa"/>
          </w:tcPr>
          <w:p>
            <w:pPr>
              <w:pStyle w:val="0"/>
              <w:jc w:val="center"/>
            </w:pPr>
            <w:r>
              <w:rPr>
                <w:sz w:val="20"/>
              </w:rPr>
              <w:t xml:space="preserve">87,2</w:t>
            </w:r>
          </w:p>
        </w:tc>
        <w:tc>
          <w:tcPr>
            <w:tcW w:w="624" w:type="dxa"/>
          </w:tcPr>
          <w:p>
            <w:pPr>
              <w:pStyle w:val="0"/>
              <w:jc w:val="center"/>
            </w:pPr>
            <w:r>
              <w:rPr>
                <w:sz w:val="20"/>
              </w:rPr>
              <w:t xml:space="preserve">40,7</w:t>
            </w:r>
          </w:p>
        </w:tc>
        <w:tc>
          <w:tcPr>
            <w:tcW w:w="737" w:type="dxa"/>
          </w:tcPr>
          <w:p>
            <w:pPr>
              <w:pStyle w:val="0"/>
              <w:jc w:val="center"/>
            </w:pPr>
            <w:r>
              <w:rPr>
                <w:sz w:val="20"/>
              </w:rPr>
              <w:t xml:space="preserve">103,1</w:t>
            </w:r>
          </w:p>
        </w:tc>
        <w:tc>
          <w:tcPr>
            <w:tcW w:w="624" w:type="dxa"/>
          </w:tcPr>
          <w:p>
            <w:pPr>
              <w:pStyle w:val="0"/>
              <w:jc w:val="center"/>
            </w:pPr>
            <w:r>
              <w:rPr>
                <w:sz w:val="20"/>
              </w:rPr>
              <w:t xml:space="preserve">7,8</w:t>
            </w:r>
          </w:p>
        </w:tc>
        <w:tc>
          <w:tcPr>
            <w:tcW w:w="794" w:type="dxa"/>
          </w:tcPr>
          <w:p>
            <w:pPr>
              <w:pStyle w:val="0"/>
              <w:jc w:val="center"/>
            </w:pPr>
            <w:r>
              <w:rPr>
                <w:sz w:val="20"/>
              </w:rPr>
              <w:t xml:space="preserve">114,6</w:t>
            </w:r>
          </w:p>
        </w:tc>
        <w:tc>
          <w:tcPr>
            <w:tcW w:w="624" w:type="dxa"/>
          </w:tcPr>
          <w:p>
            <w:pPr>
              <w:pStyle w:val="0"/>
              <w:jc w:val="center"/>
            </w:pPr>
            <w:r>
              <w:rPr>
                <w:sz w:val="20"/>
              </w:rPr>
              <w:t xml:space="preserve">95,5</w:t>
            </w:r>
          </w:p>
        </w:tc>
        <w:tc>
          <w:tcPr>
            <w:tcW w:w="797" w:type="dxa"/>
          </w:tcPr>
          <w:p>
            <w:pPr>
              <w:pStyle w:val="0"/>
              <w:jc w:val="center"/>
            </w:pPr>
            <w:r>
              <w:rPr>
                <w:sz w:val="20"/>
              </w:rPr>
              <w:t xml:space="preserve">66,2</w:t>
            </w:r>
          </w:p>
        </w:tc>
      </w:tr>
      <w:tr>
        <w:tc>
          <w:tcPr>
            <w:tcW w:w="2778" w:type="dxa"/>
          </w:tcPr>
          <w:p>
            <w:pPr>
              <w:pStyle w:val="0"/>
            </w:pPr>
            <w:r>
              <w:rPr>
                <w:sz w:val="20"/>
              </w:rPr>
              <w:t xml:space="preserve">&lt;*&gt; код укрупненной группы занятий в соответствии с Общероссийским классификатором занятий ("ОК 010-2014 (МСКЗ-08). Общероссийский классификатор занятий" (принят и введен в действие </w:t>
            </w:r>
            <w:hyperlink w:history="0" r:id="rId109" w:tooltip="&quot;ОК 010-2014 (МСКЗ-08). Общероссийский классификатор занятий&quot; (принят и введен в действие Приказом Росстандарта от 12.12.2014 N 2020-ст) (ред. от 18.02.2021) {КонсультантПлюс}">
              <w:r>
                <w:rPr>
                  <w:sz w:val="20"/>
                  <w:color w:val="0000ff"/>
                </w:rPr>
                <w:t xml:space="preserve">Приказом</w:t>
              </w:r>
            </w:hyperlink>
            <w:r>
              <w:rPr>
                <w:sz w:val="20"/>
              </w:rPr>
              <w:t xml:space="preserve"> Росстандарта от 12.12.2014 N 2020-ст))</w:t>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797" w:type="dxa"/>
          </w:tcPr>
          <w:p>
            <w:pPr>
              <w:pStyle w:val="0"/>
            </w:pPr>
            <w:r>
              <w:rPr>
                <w:sz w:val="20"/>
              </w:rPr>
            </w:r>
          </w:p>
        </w:tc>
      </w:tr>
    </w:tbl>
    <w:p>
      <w:pPr>
        <w:pStyle w:val="0"/>
      </w:pPr>
      <w:r>
        <w:rPr>
          <w:sz w:val="20"/>
        </w:rPr>
      </w:r>
    </w:p>
    <w:p>
      <w:pPr>
        <w:pStyle w:val="2"/>
        <w:outlineLvl w:val="2"/>
        <w:jc w:val="center"/>
      </w:pPr>
      <w:r>
        <w:rPr>
          <w:sz w:val="20"/>
        </w:rPr>
        <w:t xml:space="preserve">Прогноз потребности отраслей экономики Тульской области</w:t>
      </w:r>
    </w:p>
    <w:p>
      <w:pPr>
        <w:pStyle w:val="2"/>
        <w:jc w:val="center"/>
      </w:pPr>
      <w:r>
        <w:rPr>
          <w:sz w:val="20"/>
        </w:rPr>
        <w:t xml:space="preserve">в специалистах различных профессионально-квалификационных</w:t>
      </w:r>
    </w:p>
    <w:p>
      <w:pPr>
        <w:pStyle w:val="2"/>
        <w:jc w:val="center"/>
      </w:pPr>
      <w:r>
        <w:rPr>
          <w:sz w:val="20"/>
        </w:rPr>
        <w:t xml:space="preserve">групп в 2029 году, тыс. человек</w:t>
      </w:r>
    </w:p>
    <w:p>
      <w:pPr>
        <w:pStyle w:val="0"/>
      </w:pPr>
      <w:r>
        <w:rPr>
          <w:sz w:val="20"/>
        </w:rPr>
      </w:r>
    </w:p>
    <w:p>
      <w:pPr>
        <w:pStyle w:val="0"/>
        <w:outlineLvl w:val="3"/>
        <w:jc w:val="right"/>
      </w:pPr>
      <w:r>
        <w:rPr>
          <w:sz w:val="20"/>
        </w:rPr>
        <w:t xml:space="preserve">Таблица 4</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624"/>
        <w:gridCol w:w="680"/>
        <w:gridCol w:w="737"/>
        <w:gridCol w:w="624"/>
        <w:gridCol w:w="737"/>
        <w:gridCol w:w="624"/>
        <w:gridCol w:w="794"/>
        <w:gridCol w:w="624"/>
        <w:gridCol w:w="797"/>
      </w:tblGrid>
      <w:tr>
        <w:tc>
          <w:tcPr>
            <w:tcW w:w="2778" w:type="dxa"/>
            <w:vMerge w:val="restart"/>
          </w:tcPr>
          <w:p>
            <w:pPr>
              <w:pStyle w:val="0"/>
              <w:jc w:val="center"/>
            </w:pPr>
            <w:r>
              <w:rPr>
                <w:sz w:val="20"/>
              </w:rPr>
              <w:t xml:space="preserve">Виды экономической деятельности</w:t>
            </w:r>
          </w:p>
        </w:tc>
        <w:tc>
          <w:tcPr>
            <w:gridSpan w:val="9"/>
            <w:tcW w:w="6241" w:type="dxa"/>
          </w:tcPr>
          <w:p>
            <w:pPr>
              <w:pStyle w:val="0"/>
              <w:jc w:val="center"/>
            </w:pPr>
            <w:r>
              <w:rPr>
                <w:sz w:val="20"/>
              </w:rPr>
              <w:t xml:space="preserve">Группы занятий &lt;*&gt;</w:t>
            </w:r>
          </w:p>
        </w:tc>
      </w:tr>
      <w:tr>
        <w:tc>
          <w:tcPr>
            <w:vMerge w:val="continue"/>
          </w:tcPr>
          <w:p/>
        </w:tc>
        <w:tc>
          <w:tcPr>
            <w:tcW w:w="624" w:type="dxa"/>
          </w:tcPr>
          <w:p>
            <w:pPr>
              <w:pStyle w:val="0"/>
              <w:jc w:val="center"/>
            </w:pPr>
            <w:r>
              <w:rPr>
                <w:sz w:val="20"/>
              </w:rPr>
              <w:t xml:space="preserve">1</w:t>
            </w:r>
          </w:p>
        </w:tc>
        <w:tc>
          <w:tcPr>
            <w:tcW w:w="680" w:type="dxa"/>
          </w:tcPr>
          <w:p>
            <w:pPr>
              <w:pStyle w:val="0"/>
              <w:jc w:val="center"/>
            </w:pPr>
            <w:r>
              <w:rPr>
                <w:sz w:val="20"/>
              </w:rPr>
              <w:t xml:space="preserve">2</w:t>
            </w:r>
          </w:p>
        </w:tc>
        <w:tc>
          <w:tcPr>
            <w:tcW w:w="737" w:type="dxa"/>
          </w:tcPr>
          <w:p>
            <w:pPr>
              <w:pStyle w:val="0"/>
              <w:jc w:val="center"/>
            </w:pPr>
            <w:r>
              <w:rPr>
                <w:sz w:val="20"/>
              </w:rPr>
              <w:t xml:space="preserve">3</w:t>
            </w:r>
          </w:p>
        </w:tc>
        <w:tc>
          <w:tcPr>
            <w:tcW w:w="624" w:type="dxa"/>
          </w:tcPr>
          <w:p>
            <w:pPr>
              <w:pStyle w:val="0"/>
              <w:jc w:val="center"/>
            </w:pPr>
            <w:r>
              <w:rPr>
                <w:sz w:val="20"/>
              </w:rPr>
              <w:t xml:space="preserve">4</w:t>
            </w:r>
          </w:p>
        </w:tc>
        <w:tc>
          <w:tcPr>
            <w:tcW w:w="737" w:type="dxa"/>
          </w:tcPr>
          <w:p>
            <w:pPr>
              <w:pStyle w:val="0"/>
              <w:jc w:val="center"/>
            </w:pPr>
            <w:r>
              <w:rPr>
                <w:sz w:val="20"/>
              </w:rPr>
              <w:t xml:space="preserve">5</w:t>
            </w:r>
          </w:p>
        </w:tc>
        <w:tc>
          <w:tcPr>
            <w:tcW w:w="624" w:type="dxa"/>
          </w:tcPr>
          <w:p>
            <w:pPr>
              <w:pStyle w:val="0"/>
              <w:jc w:val="center"/>
            </w:pPr>
            <w:r>
              <w:rPr>
                <w:sz w:val="20"/>
              </w:rPr>
              <w:t xml:space="preserve">6</w:t>
            </w:r>
          </w:p>
        </w:tc>
        <w:tc>
          <w:tcPr>
            <w:tcW w:w="794" w:type="dxa"/>
          </w:tcPr>
          <w:p>
            <w:pPr>
              <w:pStyle w:val="0"/>
              <w:jc w:val="center"/>
            </w:pPr>
            <w:r>
              <w:rPr>
                <w:sz w:val="20"/>
              </w:rPr>
              <w:t xml:space="preserve">7</w:t>
            </w:r>
          </w:p>
        </w:tc>
        <w:tc>
          <w:tcPr>
            <w:tcW w:w="624" w:type="dxa"/>
          </w:tcPr>
          <w:p>
            <w:pPr>
              <w:pStyle w:val="0"/>
              <w:jc w:val="center"/>
            </w:pPr>
            <w:r>
              <w:rPr>
                <w:sz w:val="20"/>
              </w:rPr>
              <w:t xml:space="preserve">8</w:t>
            </w:r>
          </w:p>
        </w:tc>
        <w:tc>
          <w:tcPr>
            <w:tcW w:w="797" w:type="dxa"/>
          </w:tcPr>
          <w:p>
            <w:pPr>
              <w:pStyle w:val="0"/>
              <w:jc w:val="center"/>
            </w:pPr>
            <w:r>
              <w:rPr>
                <w:sz w:val="20"/>
              </w:rPr>
              <w:t xml:space="preserve">9</w:t>
            </w:r>
          </w:p>
        </w:tc>
      </w:tr>
      <w:tr>
        <w:tc>
          <w:tcPr>
            <w:tcW w:w="2778" w:type="dxa"/>
          </w:tcPr>
          <w:p>
            <w:pPr>
              <w:pStyle w:val="0"/>
            </w:pPr>
            <w:r>
              <w:rPr>
                <w:sz w:val="20"/>
              </w:rPr>
              <w:t xml:space="preserve">Сельское, лесное хозяйство, охота, рыболовство и рыбоводство</w:t>
            </w:r>
          </w:p>
        </w:tc>
        <w:tc>
          <w:tcPr>
            <w:tcW w:w="624" w:type="dxa"/>
          </w:tcPr>
          <w:p>
            <w:pPr>
              <w:pStyle w:val="0"/>
              <w:jc w:val="center"/>
            </w:pPr>
            <w:r>
              <w:rPr>
                <w:sz w:val="20"/>
              </w:rPr>
              <w:t xml:space="preserve">2,8</w:t>
            </w:r>
          </w:p>
        </w:tc>
        <w:tc>
          <w:tcPr>
            <w:tcW w:w="680" w:type="dxa"/>
          </w:tcPr>
          <w:p>
            <w:pPr>
              <w:pStyle w:val="0"/>
              <w:jc w:val="center"/>
            </w:pPr>
            <w:r>
              <w:rPr>
                <w:sz w:val="20"/>
              </w:rPr>
              <w:t xml:space="preserve">4,3</w:t>
            </w:r>
          </w:p>
        </w:tc>
        <w:tc>
          <w:tcPr>
            <w:tcW w:w="737" w:type="dxa"/>
          </w:tcPr>
          <w:p>
            <w:pPr>
              <w:pStyle w:val="0"/>
              <w:jc w:val="center"/>
            </w:pPr>
            <w:r>
              <w:rPr>
                <w:sz w:val="20"/>
              </w:rPr>
              <w:t xml:space="preserve">2,1</w:t>
            </w:r>
          </w:p>
        </w:tc>
        <w:tc>
          <w:tcPr>
            <w:tcW w:w="624" w:type="dxa"/>
          </w:tcPr>
          <w:p>
            <w:pPr>
              <w:pStyle w:val="0"/>
              <w:jc w:val="center"/>
            </w:pPr>
            <w:r>
              <w:rPr>
                <w:sz w:val="20"/>
              </w:rPr>
              <w:t xml:space="preserve">1,6</w:t>
            </w:r>
          </w:p>
        </w:tc>
        <w:tc>
          <w:tcPr>
            <w:tcW w:w="737" w:type="dxa"/>
          </w:tcPr>
          <w:p>
            <w:pPr>
              <w:pStyle w:val="0"/>
              <w:jc w:val="center"/>
            </w:pPr>
            <w:r>
              <w:rPr>
                <w:sz w:val="20"/>
              </w:rPr>
              <w:t xml:space="preserve">2,1</w:t>
            </w:r>
          </w:p>
        </w:tc>
        <w:tc>
          <w:tcPr>
            <w:tcW w:w="624" w:type="dxa"/>
          </w:tcPr>
          <w:p>
            <w:pPr>
              <w:pStyle w:val="0"/>
              <w:jc w:val="center"/>
            </w:pPr>
            <w:r>
              <w:rPr>
                <w:sz w:val="20"/>
              </w:rPr>
              <w:t xml:space="preserve">7,1</w:t>
            </w:r>
          </w:p>
        </w:tc>
        <w:tc>
          <w:tcPr>
            <w:tcW w:w="794" w:type="dxa"/>
          </w:tcPr>
          <w:p>
            <w:pPr>
              <w:pStyle w:val="0"/>
              <w:jc w:val="center"/>
            </w:pPr>
            <w:r>
              <w:rPr>
                <w:sz w:val="20"/>
              </w:rPr>
              <w:t xml:space="preserve">3,6</w:t>
            </w:r>
          </w:p>
        </w:tc>
        <w:tc>
          <w:tcPr>
            <w:tcW w:w="624" w:type="dxa"/>
          </w:tcPr>
          <w:p>
            <w:pPr>
              <w:pStyle w:val="0"/>
              <w:jc w:val="center"/>
            </w:pPr>
            <w:r>
              <w:rPr>
                <w:sz w:val="20"/>
              </w:rPr>
              <w:t xml:space="preserve">10,2</w:t>
            </w:r>
          </w:p>
        </w:tc>
        <w:tc>
          <w:tcPr>
            <w:tcW w:w="797" w:type="dxa"/>
          </w:tcPr>
          <w:p>
            <w:pPr>
              <w:pStyle w:val="0"/>
              <w:jc w:val="center"/>
            </w:pPr>
            <w:r>
              <w:rPr>
                <w:sz w:val="20"/>
              </w:rPr>
              <w:t xml:space="preserve">7,0</w:t>
            </w:r>
          </w:p>
        </w:tc>
      </w:tr>
      <w:tr>
        <w:tc>
          <w:tcPr>
            <w:tcW w:w="2778" w:type="dxa"/>
          </w:tcPr>
          <w:p>
            <w:pPr>
              <w:pStyle w:val="0"/>
            </w:pPr>
            <w:r>
              <w:rPr>
                <w:sz w:val="20"/>
              </w:rPr>
              <w:t xml:space="preserve">Добыча полезных ископаемых</w:t>
            </w:r>
          </w:p>
        </w:tc>
        <w:tc>
          <w:tcPr>
            <w:tcW w:w="624" w:type="dxa"/>
          </w:tcPr>
          <w:p>
            <w:pPr>
              <w:pStyle w:val="0"/>
              <w:jc w:val="center"/>
            </w:pPr>
            <w:r>
              <w:rPr>
                <w:sz w:val="20"/>
              </w:rPr>
              <w:t xml:space="preserve">0,2</w:t>
            </w:r>
          </w:p>
        </w:tc>
        <w:tc>
          <w:tcPr>
            <w:tcW w:w="680" w:type="dxa"/>
          </w:tcPr>
          <w:p>
            <w:pPr>
              <w:pStyle w:val="0"/>
              <w:jc w:val="center"/>
            </w:pPr>
            <w:r>
              <w:rPr>
                <w:sz w:val="20"/>
              </w:rPr>
              <w:t xml:space="preserve">0,1</w:t>
            </w:r>
          </w:p>
        </w:tc>
        <w:tc>
          <w:tcPr>
            <w:tcW w:w="737" w:type="dxa"/>
          </w:tcPr>
          <w:p>
            <w:pPr>
              <w:pStyle w:val="0"/>
              <w:jc w:val="center"/>
            </w:pPr>
            <w:r>
              <w:rPr>
                <w:sz w:val="20"/>
              </w:rPr>
              <w:t xml:space="preserve">0,1</w:t>
            </w:r>
          </w:p>
        </w:tc>
        <w:tc>
          <w:tcPr>
            <w:tcW w:w="624" w:type="dxa"/>
          </w:tcPr>
          <w:p>
            <w:pPr>
              <w:pStyle w:val="0"/>
              <w:jc w:val="center"/>
            </w:pPr>
            <w:r>
              <w:rPr>
                <w:sz w:val="20"/>
              </w:rPr>
              <w:t xml:space="preserve">0,1</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1,1</w:t>
            </w:r>
          </w:p>
        </w:tc>
        <w:tc>
          <w:tcPr>
            <w:tcW w:w="797" w:type="dxa"/>
          </w:tcPr>
          <w:p>
            <w:pPr>
              <w:pStyle w:val="0"/>
              <w:jc w:val="center"/>
            </w:pPr>
            <w:r>
              <w:rPr>
                <w:sz w:val="20"/>
              </w:rPr>
              <w:t xml:space="preserve">0,2</w:t>
            </w:r>
          </w:p>
        </w:tc>
      </w:tr>
      <w:tr>
        <w:tc>
          <w:tcPr>
            <w:tcW w:w="2778" w:type="dxa"/>
          </w:tcPr>
          <w:p>
            <w:pPr>
              <w:pStyle w:val="0"/>
            </w:pPr>
            <w:r>
              <w:rPr>
                <w:sz w:val="20"/>
              </w:rPr>
              <w:t xml:space="preserve">Обрабатывающие производства</w:t>
            </w:r>
          </w:p>
        </w:tc>
        <w:tc>
          <w:tcPr>
            <w:tcW w:w="624" w:type="dxa"/>
          </w:tcPr>
          <w:p>
            <w:pPr>
              <w:pStyle w:val="0"/>
              <w:jc w:val="center"/>
            </w:pPr>
            <w:r>
              <w:rPr>
                <w:sz w:val="20"/>
              </w:rPr>
              <w:t xml:space="preserve">15,3</w:t>
            </w:r>
          </w:p>
        </w:tc>
        <w:tc>
          <w:tcPr>
            <w:tcW w:w="680" w:type="dxa"/>
          </w:tcPr>
          <w:p>
            <w:pPr>
              <w:pStyle w:val="0"/>
              <w:jc w:val="center"/>
            </w:pPr>
            <w:r>
              <w:rPr>
                <w:sz w:val="20"/>
              </w:rPr>
              <w:t xml:space="preserve">24,2</w:t>
            </w:r>
          </w:p>
        </w:tc>
        <w:tc>
          <w:tcPr>
            <w:tcW w:w="737" w:type="dxa"/>
          </w:tcPr>
          <w:p>
            <w:pPr>
              <w:pStyle w:val="0"/>
              <w:jc w:val="center"/>
            </w:pPr>
            <w:r>
              <w:rPr>
                <w:sz w:val="20"/>
              </w:rPr>
              <w:t xml:space="preserve">14,1</w:t>
            </w:r>
          </w:p>
        </w:tc>
        <w:tc>
          <w:tcPr>
            <w:tcW w:w="624" w:type="dxa"/>
          </w:tcPr>
          <w:p>
            <w:pPr>
              <w:pStyle w:val="0"/>
              <w:jc w:val="center"/>
            </w:pPr>
            <w:r>
              <w:rPr>
                <w:sz w:val="20"/>
              </w:rPr>
              <w:t xml:space="preserve">6,9</w:t>
            </w:r>
          </w:p>
        </w:tc>
        <w:tc>
          <w:tcPr>
            <w:tcW w:w="737" w:type="dxa"/>
          </w:tcPr>
          <w:p>
            <w:pPr>
              <w:pStyle w:val="0"/>
              <w:jc w:val="center"/>
            </w:pPr>
            <w:r>
              <w:rPr>
                <w:sz w:val="20"/>
              </w:rPr>
              <w:t xml:space="preserve">3,5</w:t>
            </w:r>
          </w:p>
        </w:tc>
        <w:tc>
          <w:tcPr>
            <w:tcW w:w="624" w:type="dxa"/>
          </w:tcPr>
          <w:p>
            <w:pPr>
              <w:pStyle w:val="0"/>
              <w:jc w:val="center"/>
            </w:pPr>
            <w:r>
              <w:rPr>
                <w:sz w:val="20"/>
              </w:rPr>
              <w:t xml:space="preserve">0,2</w:t>
            </w:r>
          </w:p>
        </w:tc>
        <w:tc>
          <w:tcPr>
            <w:tcW w:w="794" w:type="dxa"/>
          </w:tcPr>
          <w:p>
            <w:pPr>
              <w:pStyle w:val="0"/>
              <w:jc w:val="center"/>
            </w:pPr>
            <w:r>
              <w:rPr>
                <w:sz w:val="20"/>
              </w:rPr>
              <w:t xml:space="preserve">54,9</w:t>
            </w:r>
          </w:p>
        </w:tc>
        <w:tc>
          <w:tcPr>
            <w:tcW w:w="624" w:type="dxa"/>
          </w:tcPr>
          <w:p>
            <w:pPr>
              <w:pStyle w:val="0"/>
              <w:jc w:val="center"/>
            </w:pPr>
            <w:r>
              <w:rPr>
                <w:sz w:val="20"/>
              </w:rPr>
              <w:t xml:space="preserve">33,9</w:t>
            </w:r>
          </w:p>
        </w:tc>
        <w:tc>
          <w:tcPr>
            <w:tcW w:w="797" w:type="dxa"/>
          </w:tcPr>
          <w:p>
            <w:pPr>
              <w:pStyle w:val="0"/>
              <w:jc w:val="center"/>
            </w:pPr>
            <w:r>
              <w:rPr>
                <w:sz w:val="20"/>
              </w:rPr>
              <w:t xml:space="preserve">14,9</w:t>
            </w:r>
          </w:p>
        </w:tc>
      </w:tr>
      <w:tr>
        <w:tc>
          <w:tcPr>
            <w:tcW w:w="2778" w:type="dxa"/>
          </w:tcPr>
          <w:p>
            <w:pPr>
              <w:pStyle w:val="0"/>
            </w:pPr>
            <w:r>
              <w:rPr>
                <w:sz w:val="20"/>
              </w:rPr>
              <w:t xml:space="preserve">Обеспечение электроэнергией, газом и паром; кондиционирование воздуха</w:t>
            </w:r>
          </w:p>
        </w:tc>
        <w:tc>
          <w:tcPr>
            <w:tcW w:w="624" w:type="dxa"/>
          </w:tcPr>
          <w:p>
            <w:pPr>
              <w:pStyle w:val="0"/>
              <w:jc w:val="center"/>
            </w:pPr>
            <w:r>
              <w:rPr>
                <w:sz w:val="20"/>
              </w:rPr>
              <w:t xml:space="preserve">1,4</w:t>
            </w:r>
          </w:p>
        </w:tc>
        <w:tc>
          <w:tcPr>
            <w:tcW w:w="680" w:type="dxa"/>
          </w:tcPr>
          <w:p>
            <w:pPr>
              <w:pStyle w:val="0"/>
              <w:jc w:val="center"/>
            </w:pPr>
            <w:r>
              <w:rPr>
                <w:sz w:val="20"/>
              </w:rPr>
              <w:t xml:space="preserve">3,0</w:t>
            </w:r>
          </w:p>
        </w:tc>
        <w:tc>
          <w:tcPr>
            <w:tcW w:w="737" w:type="dxa"/>
          </w:tcPr>
          <w:p>
            <w:pPr>
              <w:pStyle w:val="0"/>
              <w:jc w:val="center"/>
            </w:pPr>
            <w:r>
              <w:rPr>
                <w:sz w:val="20"/>
              </w:rPr>
              <w:t xml:space="preserve">1,9</w:t>
            </w:r>
          </w:p>
        </w:tc>
        <w:tc>
          <w:tcPr>
            <w:tcW w:w="624" w:type="dxa"/>
          </w:tcPr>
          <w:p>
            <w:pPr>
              <w:pStyle w:val="0"/>
              <w:jc w:val="center"/>
            </w:pPr>
            <w:r>
              <w:rPr>
                <w:sz w:val="20"/>
              </w:rPr>
              <w:t xml:space="preserve">0,6</w:t>
            </w:r>
          </w:p>
        </w:tc>
        <w:tc>
          <w:tcPr>
            <w:tcW w:w="737" w:type="dxa"/>
          </w:tcPr>
          <w:p>
            <w:pPr>
              <w:pStyle w:val="0"/>
              <w:jc w:val="center"/>
            </w:pPr>
            <w:r>
              <w:rPr>
                <w:sz w:val="20"/>
              </w:rPr>
              <w:t xml:space="preserve">0,2</w:t>
            </w:r>
          </w:p>
        </w:tc>
        <w:tc>
          <w:tcPr>
            <w:tcW w:w="624" w:type="dxa"/>
          </w:tcPr>
          <w:p>
            <w:pPr>
              <w:pStyle w:val="0"/>
              <w:jc w:val="center"/>
            </w:pPr>
            <w:r>
              <w:rPr>
                <w:sz w:val="20"/>
              </w:rPr>
              <w:t xml:space="preserve">0,0</w:t>
            </w:r>
          </w:p>
        </w:tc>
        <w:tc>
          <w:tcPr>
            <w:tcW w:w="794" w:type="dxa"/>
          </w:tcPr>
          <w:p>
            <w:pPr>
              <w:pStyle w:val="0"/>
              <w:jc w:val="center"/>
            </w:pPr>
            <w:r>
              <w:rPr>
                <w:sz w:val="20"/>
              </w:rPr>
              <w:t xml:space="preserve">5,8</w:t>
            </w:r>
          </w:p>
        </w:tc>
        <w:tc>
          <w:tcPr>
            <w:tcW w:w="624" w:type="dxa"/>
          </w:tcPr>
          <w:p>
            <w:pPr>
              <w:pStyle w:val="0"/>
              <w:jc w:val="center"/>
            </w:pPr>
            <w:r>
              <w:rPr>
                <w:sz w:val="20"/>
              </w:rPr>
              <w:t xml:space="preserve">4,0</w:t>
            </w:r>
          </w:p>
        </w:tc>
        <w:tc>
          <w:tcPr>
            <w:tcW w:w="797" w:type="dxa"/>
          </w:tcPr>
          <w:p>
            <w:pPr>
              <w:pStyle w:val="0"/>
              <w:jc w:val="center"/>
            </w:pPr>
            <w:r>
              <w:rPr>
                <w:sz w:val="20"/>
              </w:rPr>
              <w:t xml:space="preserve">0,4</w:t>
            </w:r>
          </w:p>
        </w:tc>
      </w:tr>
      <w:tr>
        <w:tc>
          <w:tcPr>
            <w:tcW w:w="2778" w:type="dxa"/>
          </w:tcPr>
          <w:p>
            <w:pPr>
              <w:pStyle w:val="0"/>
            </w:pPr>
            <w:r>
              <w:rPr>
                <w:sz w:val="20"/>
              </w:rPr>
              <w:t xml:space="preserve">Водоснабжение; водоотведение, организация сбора и утилизации отходов, деятельность по ликвидации загрязнений</w:t>
            </w:r>
          </w:p>
        </w:tc>
        <w:tc>
          <w:tcPr>
            <w:tcW w:w="624" w:type="dxa"/>
          </w:tcPr>
          <w:p>
            <w:pPr>
              <w:pStyle w:val="0"/>
              <w:jc w:val="center"/>
            </w:pPr>
            <w:r>
              <w:rPr>
                <w:sz w:val="20"/>
              </w:rPr>
              <w:t xml:space="preserve">0,7</w:t>
            </w:r>
          </w:p>
        </w:tc>
        <w:tc>
          <w:tcPr>
            <w:tcW w:w="680" w:type="dxa"/>
          </w:tcPr>
          <w:p>
            <w:pPr>
              <w:pStyle w:val="0"/>
              <w:jc w:val="center"/>
            </w:pPr>
            <w:r>
              <w:rPr>
                <w:sz w:val="20"/>
              </w:rPr>
              <w:t xml:space="preserve">0,9</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0,0</w:t>
            </w:r>
          </w:p>
        </w:tc>
        <w:tc>
          <w:tcPr>
            <w:tcW w:w="624" w:type="dxa"/>
          </w:tcPr>
          <w:p>
            <w:pPr>
              <w:pStyle w:val="0"/>
              <w:jc w:val="center"/>
            </w:pPr>
            <w:r>
              <w:rPr>
                <w:sz w:val="20"/>
              </w:rPr>
              <w:t xml:space="preserve">0,0</w:t>
            </w:r>
          </w:p>
        </w:tc>
        <w:tc>
          <w:tcPr>
            <w:tcW w:w="794" w:type="dxa"/>
          </w:tcPr>
          <w:p>
            <w:pPr>
              <w:pStyle w:val="0"/>
              <w:jc w:val="center"/>
            </w:pPr>
            <w:r>
              <w:rPr>
                <w:sz w:val="20"/>
              </w:rPr>
              <w:t xml:space="preserve">1,9</w:t>
            </w:r>
          </w:p>
        </w:tc>
        <w:tc>
          <w:tcPr>
            <w:tcW w:w="624" w:type="dxa"/>
          </w:tcPr>
          <w:p>
            <w:pPr>
              <w:pStyle w:val="0"/>
              <w:jc w:val="center"/>
            </w:pPr>
            <w:r>
              <w:rPr>
                <w:sz w:val="20"/>
              </w:rPr>
              <w:t xml:space="preserve">1,9</w:t>
            </w:r>
          </w:p>
        </w:tc>
        <w:tc>
          <w:tcPr>
            <w:tcW w:w="797" w:type="dxa"/>
          </w:tcPr>
          <w:p>
            <w:pPr>
              <w:pStyle w:val="0"/>
              <w:jc w:val="center"/>
            </w:pPr>
            <w:r>
              <w:rPr>
                <w:sz w:val="20"/>
              </w:rPr>
              <w:t xml:space="preserve">0,4</w:t>
            </w:r>
          </w:p>
        </w:tc>
      </w:tr>
      <w:tr>
        <w:tc>
          <w:tcPr>
            <w:tcW w:w="2778" w:type="dxa"/>
          </w:tcPr>
          <w:p>
            <w:pPr>
              <w:pStyle w:val="0"/>
            </w:pPr>
            <w:r>
              <w:rPr>
                <w:sz w:val="20"/>
              </w:rPr>
              <w:t xml:space="preserve">Строительство</w:t>
            </w:r>
          </w:p>
        </w:tc>
        <w:tc>
          <w:tcPr>
            <w:tcW w:w="624" w:type="dxa"/>
          </w:tcPr>
          <w:p>
            <w:pPr>
              <w:pStyle w:val="0"/>
              <w:jc w:val="center"/>
            </w:pPr>
            <w:r>
              <w:rPr>
                <w:sz w:val="20"/>
              </w:rPr>
              <w:t xml:space="preserve">8,9</w:t>
            </w:r>
          </w:p>
        </w:tc>
        <w:tc>
          <w:tcPr>
            <w:tcW w:w="680" w:type="dxa"/>
          </w:tcPr>
          <w:p>
            <w:pPr>
              <w:pStyle w:val="0"/>
              <w:jc w:val="center"/>
            </w:pPr>
            <w:r>
              <w:rPr>
                <w:sz w:val="20"/>
              </w:rPr>
              <w:t xml:space="preserve">11,1</w:t>
            </w:r>
          </w:p>
        </w:tc>
        <w:tc>
          <w:tcPr>
            <w:tcW w:w="737" w:type="dxa"/>
          </w:tcPr>
          <w:p>
            <w:pPr>
              <w:pStyle w:val="0"/>
              <w:jc w:val="center"/>
            </w:pPr>
            <w:r>
              <w:rPr>
                <w:sz w:val="20"/>
              </w:rPr>
              <w:t xml:space="preserve">5,6</w:t>
            </w:r>
          </w:p>
        </w:tc>
        <w:tc>
          <w:tcPr>
            <w:tcW w:w="624" w:type="dxa"/>
          </w:tcPr>
          <w:p>
            <w:pPr>
              <w:pStyle w:val="0"/>
              <w:jc w:val="center"/>
            </w:pPr>
            <w:r>
              <w:rPr>
                <w:sz w:val="20"/>
              </w:rPr>
              <w:t xml:space="preserve">1,2</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19,8</w:t>
            </w:r>
          </w:p>
        </w:tc>
        <w:tc>
          <w:tcPr>
            <w:tcW w:w="624" w:type="dxa"/>
          </w:tcPr>
          <w:p>
            <w:pPr>
              <w:pStyle w:val="0"/>
              <w:jc w:val="center"/>
            </w:pPr>
            <w:r>
              <w:rPr>
                <w:sz w:val="20"/>
              </w:rPr>
              <w:t xml:space="preserve">10,2</w:t>
            </w:r>
          </w:p>
        </w:tc>
        <w:tc>
          <w:tcPr>
            <w:tcW w:w="797" w:type="dxa"/>
          </w:tcPr>
          <w:p>
            <w:pPr>
              <w:pStyle w:val="0"/>
              <w:jc w:val="center"/>
            </w:pPr>
            <w:r>
              <w:rPr>
                <w:sz w:val="20"/>
              </w:rPr>
              <w:t xml:space="preserve">4,5</w:t>
            </w:r>
          </w:p>
        </w:tc>
      </w:tr>
      <w:tr>
        <w:tc>
          <w:tcPr>
            <w:tcW w:w="2778" w:type="dxa"/>
          </w:tcPr>
          <w:p>
            <w:pPr>
              <w:pStyle w:val="0"/>
            </w:pPr>
            <w:r>
              <w:rPr>
                <w:sz w:val="20"/>
              </w:rPr>
              <w:t xml:space="preserve">Торговля оптовая и розничная; ремонт автотранспортных средств и мотоциклов</w:t>
            </w:r>
          </w:p>
        </w:tc>
        <w:tc>
          <w:tcPr>
            <w:tcW w:w="624" w:type="dxa"/>
          </w:tcPr>
          <w:p>
            <w:pPr>
              <w:pStyle w:val="0"/>
              <w:jc w:val="center"/>
            </w:pPr>
            <w:r>
              <w:rPr>
                <w:sz w:val="20"/>
              </w:rPr>
              <w:t xml:space="preserve">17,4</w:t>
            </w:r>
          </w:p>
        </w:tc>
        <w:tc>
          <w:tcPr>
            <w:tcW w:w="680" w:type="dxa"/>
          </w:tcPr>
          <w:p>
            <w:pPr>
              <w:pStyle w:val="0"/>
              <w:jc w:val="center"/>
            </w:pPr>
            <w:r>
              <w:rPr>
                <w:sz w:val="20"/>
              </w:rPr>
              <w:t xml:space="preserve">12,9</w:t>
            </w:r>
          </w:p>
        </w:tc>
        <w:tc>
          <w:tcPr>
            <w:tcW w:w="737" w:type="dxa"/>
          </w:tcPr>
          <w:p>
            <w:pPr>
              <w:pStyle w:val="0"/>
              <w:jc w:val="center"/>
            </w:pPr>
            <w:r>
              <w:rPr>
                <w:sz w:val="20"/>
              </w:rPr>
              <w:t xml:space="preserve">15,8</w:t>
            </w:r>
          </w:p>
        </w:tc>
        <w:tc>
          <w:tcPr>
            <w:tcW w:w="624" w:type="dxa"/>
          </w:tcPr>
          <w:p>
            <w:pPr>
              <w:pStyle w:val="0"/>
              <w:jc w:val="center"/>
            </w:pPr>
            <w:r>
              <w:rPr>
                <w:sz w:val="20"/>
              </w:rPr>
              <w:t xml:space="preserve">3,3</w:t>
            </w:r>
          </w:p>
        </w:tc>
        <w:tc>
          <w:tcPr>
            <w:tcW w:w="737" w:type="dxa"/>
          </w:tcPr>
          <w:p>
            <w:pPr>
              <w:pStyle w:val="0"/>
              <w:jc w:val="center"/>
            </w:pPr>
            <w:r>
              <w:rPr>
                <w:sz w:val="20"/>
              </w:rPr>
              <w:t xml:space="preserve">46,5</w:t>
            </w:r>
          </w:p>
        </w:tc>
        <w:tc>
          <w:tcPr>
            <w:tcW w:w="624" w:type="dxa"/>
          </w:tcPr>
          <w:p>
            <w:pPr>
              <w:pStyle w:val="0"/>
              <w:jc w:val="center"/>
            </w:pPr>
            <w:r>
              <w:rPr>
                <w:sz w:val="20"/>
              </w:rPr>
              <w:t xml:space="preserve">0,1</w:t>
            </w:r>
          </w:p>
        </w:tc>
        <w:tc>
          <w:tcPr>
            <w:tcW w:w="794" w:type="dxa"/>
          </w:tcPr>
          <w:p>
            <w:pPr>
              <w:pStyle w:val="0"/>
              <w:jc w:val="center"/>
            </w:pPr>
            <w:r>
              <w:rPr>
                <w:sz w:val="20"/>
              </w:rPr>
              <w:t xml:space="preserve">10,4</w:t>
            </w:r>
          </w:p>
        </w:tc>
        <w:tc>
          <w:tcPr>
            <w:tcW w:w="624" w:type="dxa"/>
          </w:tcPr>
          <w:p>
            <w:pPr>
              <w:pStyle w:val="0"/>
              <w:jc w:val="center"/>
            </w:pPr>
            <w:r>
              <w:rPr>
                <w:sz w:val="20"/>
              </w:rPr>
              <w:t xml:space="preserve">7,2</w:t>
            </w:r>
          </w:p>
        </w:tc>
        <w:tc>
          <w:tcPr>
            <w:tcW w:w="797" w:type="dxa"/>
          </w:tcPr>
          <w:p>
            <w:pPr>
              <w:pStyle w:val="0"/>
              <w:jc w:val="center"/>
            </w:pPr>
            <w:r>
              <w:rPr>
                <w:sz w:val="20"/>
              </w:rPr>
              <w:t xml:space="preserve">10,7</w:t>
            </w:r>
          </w:p>
        </w:tc>
      </w:tr>
      <w:tr>
        <w:tc>
          <w:tcPr>
            <w:tcW w:w="2778" w:type="dxa"/>
          </w:tcPr>
          <w:p>
            <w:pPr>
              <w:pStyle w:val="0"/>
            </w:pPr>
            <w:r>
              <w:rPr>
                <w:sz w:val="20"/>
              </w:rPr>
              <w:t xml:space="preserve">Транспортировка и хранение</w:t>
            </w:r>
          </w:p>
        </w:tc>
        <w:tc>
          <w:tcPr>
            <w:tcW w:w="624" w:type="dxa"/>
          </w:tcPr>
          <w:p>
            <w:pPr>
              <w:pStyle w:val="0"/>
              <w:jc w:val="center"/>
            </w:pPr>
            <w:r>
              <w:rPr>
                <w:sz w:val="20"/>
              </w:rPr>
              <w:t xml:space="preserve">2,7</w:t>
            </w:r>
          </w:p>
        </w:tc>
        <w:tc>
          <w:tcPr>
            <w:tcW w:w="680" w:type="dxa"/>
          </w:tcPr>
          <w:p>
            <w:pPr>
              <w:pStyle w:val="0"/>
              <w:jc w:val="center"/>
            </w:pPr>
            <w:r>
              <w:rPr>
                <w:sz w:val="20"/>
              </w:rPr>
              <w:t xml:space="preserve">2,7</w:t>
            </w:r>
          </w:p>
        </w:tc>
        <w:tc>
          <w:tcPr>
            <w:tcW w:w="737" w:type="dxa"/>
          </w:tcPr>
          <w:p>
            <w:pPr>
              <w:pStyle w:val="0"/>
              <w:jc w:val="center"/>
            </w:pPr>
            <w:r>
              <w:rPr>
                <w:sz w:val="20"/>
              </w:rPr>
              <w:t xml:space="preserve">2,7</w:t>
            </w:r>
          </w:p>
        </w:tc>
        <w:tc>
          <w:tcPr>
            <w:tcW w:w="624" w:type="dxa"/>
          </w:tcPr>
          <w:p>
            <w:pPr>
              <w:pStyle w:val="0"/>
              <w:jc w:val="center"/>
            </w:pPr>
            <w:r>
              <w:rPr>
                <w:sz w:val="20"/>
              </w:rPr>
              <w:t xml:space="preserve">19,2</w:t>
            </w:r>
          </w:p>
        </w:tc>
        <w:tc>
          <w:tcPr>
            <w:tcW w:w="737" w:type="dxa"/>
          </w:tcPr>
          <w:p>
            <w:pPr>
              <w:pStyle w:val="0"/>
              <w:jc w:val="center"/>
            </w:pPr>
            <w:r>
              <w:rPr>
                <w:sz w:val="20"/>
              </w:rPr>
              <w:t xml:space="preserve">4,3</w:t>
            </w:r>
          </w:p>
        </w:tc>
        <w:tc>
          <w:tcPr>
            <w:tcW w:w="624" w:type="dxa"/>
          </w:tcPr>
          <w:p>
            <w:pPr>
              <w:pStyle w:val="0"/>
              <w:jc w:val="center"/>
            </w:pPr>
            <w:r>
              <w:rPr>
                <w:sz w:val="20"/>
              </w:rPr>
              <w:t xml:space="preserve">0,0</w:t>
            </w:r>
          </w:p>
        </w:tc>
        <w:tc>
          <w:tcPr>
            <w:tcW w:w="794" w:type="dxa"/>
          </w:tcPr>
          <w:p>
            <w:pPr>
              <w:pStyle w:val="0"/>
              <w:jc w:val="center"/>
            </w:pPr>
            <w:r>
              <w:rPr>
                <w:sz w:val="20"/>
              </w:rPr>
              <w:t xml:space="preserve">6,3</w:t>
            </w:r>
          </w:p>
        </w:tc>
        <w:tc>
          <w:tcPr>
            <w:tcW w:w="624" w:type="dxa"/>
          </w:tcPr>
          <w:p>
            <w:pPr>
              <w:pStyle w:val="0"/>
              <w:jc w:val="center"/>
            </w:pPr>
            <w:r>
              <w:rPr>
                <w:sz w:val="20"/>
              </w:rPr>
              <w:t xml:space="preserve">17,5</w:t>
            </w:r>
          </w:p>
        </w:tc>
        <w:tc>
          <w:tcPr>
            <w:tcW w:w="797" w:type="dxa"/>
          </w:tcPr>
          <w:p>
            <w:pPr>
              <w:pStyle w:val="0"/>
              <w:jc w:val="center"/>
            </w:pPr>
            <w:r>
              <w:rPr>
                <w:sz w:val="20"/>
              </w:rPr>
              <w:t xml:space="preserve">3,3</w:t>
            </w:r>
          </w:p>
        </w:tc>
      </w:tr>
      <w:tr>
        <w:tc>
          <w:tcPr>
            <w:tcW w:w="2778" w:type="dxa"/>
          </w:tcPr>
          <w:p>
            <w:pPr>
              <w:pStyle w:val="0"/>
            </w:pPr>
            <w:r>
              <w:rPr>
                <w:sz w:val="20"/>
              </w:rPr>
              <w:t xml:space="preserve">Деятельность гостиниц и предприятий общественного питания</w:t>
            </w:r>
          </w:p>
        </w:tc>
        <w:tc>
          <w:tcPr>
            <w:tcW w:w="624" w:type="dxa"/>
          </w:tcPr>
          <w:p>
            <w:pPr>
              <w:pStyle w:val="0"/>
              <w:jc w:val="center"/>
            </w:pPr>
            <w:r>
              <w:rPr>
                <w:sz w:val="20"/>
              </w:rPr>
              <w:t xml:space="preserve">1,8</w:t>
            </w:r>
          </w:p>
        </w:tc>
        <w:tc>
          <w:tcPr>
            <w:tcW w:w="680" w:type="dxa"/>
          </w:tcPr>
          <w:p>
            <w:pPr>
              <w:pStyle w:val="0"/>
              <w:jc w:val="center"/>
            </w:pPr>
            <w:r>
              <w:rPr>
                <w:sz w:val="20"/>
              </w:rPr>
              <w:t xml:space="preserve">1,5</w:t>
            </w:r>
          </w:p>
        </w:tc>
        <w:tc>
          <w:tcPr>
            <w:tcW w:w="737" w:type="dxa"/>
          </w:tcPr>
          <w:p>
            <w:pPr>
              <w:pStyle w:val="0"/>
              <w:jc w:val="center"/>
            </w:pPr>
            <w:r>
              <w:rPr>
                <w:sz w:val="20"/>
              </w:rPr>
              <w:t xml:space="preserve">3,2</w:t>
            </w:r>
          </w:p>
        </w:tc>
        <w:tc>
          <w:tcPr>
            <w:tcW w:w="624" w:type="dxa"/>
          </w:tcPr>
          <w:p>
            <w:pPr>
              <w:pStyle w:val="0"/>
              <w:jc w:val="center"/>
            </w:pPr>
            <w:r>
              <w:rPr>
                <w:sz w:val="20"/>
              </w:rPr>
              <w:t xml:space="preserve">0,3</w:t>
            </w:r>
          </w:p>
        </w:tc>
        <w:tc>
          <w:tcPr>
            <w:tcW w:w="737" w:type="dxa"/>
          </w:tcPr>
          <w:p>
            <w:pPr>
              <w:pStyle w:val="0"/>
              <w:jc w:val="center"/>
            </w:pPr>
            <w:r>
              <w:rPr>
                <w:sz w:val="20"/>
              </w:rPr>
              <w:t xml:space="preserve">8,1</w:t>
            </w:r>
          </w:p>
        </w:tc>
        <w:tc>
          <w:tcPr>
            <w:tcW w:w="624" w:type="dxa"/>
          </w:tcPr>
          <w:p>
            <w:pPr>
              <w:pStyle w:val="0"/>
              <w:jc w:val="center"/>
            </w:pPr>
            <w:r>
              <w:rPr>
                <w:sz w:val="20"/>
              </w:rPr>
              <w:t xml:space="preserve">0,1</w:t>
            </w:r>
          </w:p>
        </w:tc>
        <w:tc>
          <w:tcPr>
            <w:tcW w:w="794" w:type="dxa"/>
          </w:tcPr>
          <w:p>
            <w:pPr>
              <w:pStyle w:val="0"/>
              <w:jc w:val="center"/>
            </w:pPr>
            <w:r>
              <w:rPr>
                <w:sz w:val="20"/>
              </w:rPr>
              <w:t xml:space="preserve">1,2</w:t>
            </w:r>
          </w:p>
        </w:tc>
        <w:tc>
          <w:tcPr>
            <w:tcW w:w="624" w:type="dxa"/>
          </w:tcPr>
          <w:p>
            <w:pPr>
              <w:pStyle w:val="0"/>
              <w:jc w:val="center"/>
            </w:pPr>
            <w:r>
              <w:rPr>
                <w:sz w:val="20"/>
              </w:rPr>
              <w:t xml:space="preserve">0,4</w:t>
            </w:r>
          </w:p>
        </w:tc>
        <w:tc>
          <w:tcPr>
            <w:tcW w:w="797" w:type="dxa"/>
          </w:tcPr>
          <w:p>
            <w:pPr>
              <w:pStyle w:val="0"/>
              <w:jc w:val="center"/>
            </w:pPr>
            <w:r>
              <w:rPr>
                <w:sz w:val="20"/>
              </w:rPr>
              <w:t xml:space="preserve">3,9</w:t>
            </w:r>
          </w:p>
        </w:tc>
      </w:tr>
      <w:tr>
        <w:tc>
          <w:tcPr>
            <w:tcW w:w="2778" w:type="dxa"/>
          </w:tcPr>
          <w:p>
            <w:pPr>
              <w:pStyle w:val="0"/>
            </w:pPr>
            <w:r>
              <w:rPr>
                <w:sz w:val="20"/>
              </w:rPr>
              <w:t xml:space="preserve">Деятельность в области информации и связи</w:t>
            </w:r>
          </w:p>
        </w:tc>
        <w:tc>
          <w:tcPr>
            <w:tcW w:w="624" w:type="dxa"/>
          </w:tcPr>
          <w:p>
            <w:pPr>
              <w:pStyle w:val="0"/>
              <w:jc w:val="center"/>
            </w:pPr>
            <w:r>
              <w:rPr>
                <w:sz w:val="20"/>
              </w:rPr>
              <w:t xml:space="preserve">2,2</w:t>
            </w:r>
          </w:p>
        </w:tc>
        <w:tc>
          <w:tcPr>
            <w:tcW w:w="680" w:type="dxa"/>
          </w:tcPr>
          <w:p>
            <w:pPr>
              <w:pStyle w:val="0"/>
              <w:jc w:val="center"/>
            </w:pPr>
            <w:r>
              <w:rPr>
                <w:sz w:val="20"/>
              </w:rPr>
              <w:t xml:space="preserve">7,4</w:t>
            </w:r>
          </w:p>
        </w:tc>
        <w:tc>
          <w:tcPr>
            <w:tcW w:w="737" w:type="dxa"/>
          </w:tcPr>
          <w:p>
            <w:pPr>
              <w:pStyle w:val="0"/>
              <w:jc w:val="center"/>
            </w:pPr>
            <w:r>
              <w:rPr>
                <w:sz w:val="20"/>
              </w:rPr>
              <w:t xml:space="preserve">1,4</w:t>
            </w:r>
          </w:p>
        </w:tc>
        <w:tc>
          <w:tcPr>
            <w:tcW w:w="624" w:type="dxa"/>
          </w:tcPr>
          <w:p>
            <w:pPr>
              <w:pStyle w:val="0"/>
              <w:jc w:val="center"/>
            </w:pPr>
            <w:r>
              <w:rPr>
                <w:sz w:val="20"/>
              </w:rPr>
              <w:t xml:space="preserve">1,0</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1,0</w:t>
            </w:r>
          </w:p>
        </w:tc>
        <w:tc>
          <w:tcPr>
            <w:tcW w:w="624" w:type="dxa"/>
          </w:tcPr>
          <w:p>
            <w:pPr>
              <w:pStyle w:val="0"/>
              <w:jc w:val="center"/>
            </w:pPr>
            <w:r>
              <w:rPr>
                <w:sz w:val="20"/>
              </w:rPr>
              <w:t xml:space="preserve">0,2</w:t>
            </w:r>
          </w:p>
        </w:tc>
        <w:tc>
          <w:tcPr>
            <w:tcW w:w="797" w:type="dxa"/>
          </w:tcPr>
          <w:p>
            <w:pPr>
              <w:pStyle w:val="0"/>
              <w:jc w:val="center"/>
            </w:pPr>
            <w:r>
              <w:rPr>
                <w:sz w:val="20"/>
              </w:rPr>
              <w:t xml:space="preserve">0,1</w:t>
            </w:r>
          </w:p>
        </w:tc>
      </w:tr>
      <w:tr>
        <w:tc>
          <w:tcPr>
            <w:tcW w:w="2778" w:type="dxa"/>
          </w:tcPr>
          <w:p>
            <w:pPr>
              <w:pStyle w:val="0"/>
            </w:pPr>
            <w:r>
              <w:rPr>
                <w:sz w:val="20"/>
              </w:rPr>
              <w:t xml:space="preserve">Деятельность финансовая и страховая</w:t>
            </w:r>
          </w:p>
        </w:tc>
        <w:tc>
          <w:tcPr>
            <w:tcW w:w="624" w:type="dxa"/>
          </w:tcPr>
          <w:p>
            <w:pPr>
              <w:pStyle w:val="0"/>
              <w:jc w:val="center"/>
            </w:pPr>
            <w:r>
              <w:rPr>
                <w:sz w:val="20"/>
              </w:rPr>
              <w:t xml:space="preserve">1,6</w:t>
            </w:r>
          </w:p>
        </w:tc>
        <w:tc>
          <w:tcPr>
            <w:tcW w:w="680" w:type="dxa"/>
          </w:tcPr>
          <w:p>
            <w:pPr>
              <w:pStyle w:val="0"/>
              <w:jc w:val="center"/>
            </w:pPr>
            <w:r>
              <w:rPr>
                <w:sz w:val="20"/>
              </w:rPr>
              <w:t xml:space="preserve">3,9</w:t>
            </w:r>
          </w:p>
        </w:tc>
        <w:tc>
          <w:tcPr>
            <w:tcW w:w="737" w:type="dxa"/>
          </w:tcPr>
          <w:p>
            <w:pPr>
              <w:pStyle w:val="0"/>
              <w:jc w:val="center"/>
            </w:pPr>
            <w:r>
              <w:rPr>
                <w:sz w:val="20"/>
              </w:rPr>
              <w:t xml:space="preserve">3,3</w:t>
            </w:r>
          </w:p>
        </w:tc>
        <w:tc>
          <w:tcPr>
            <w:tcW w:w="624" w:type="dxa"/>
          </w:tcPr>
          <w:p>
            <w:pPr>
              <w:pStyle w:val="0"/>
              <w:jc w:val="center"/>
            </w:pPr>
            <w:r>
              <w:rPr>
                <w:sz w:val="20"/>
              </w:rPr>
              <w:t xml:space="preserve">0,4</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0,1</w:t>
            </w:r>
          </w:p>
        </w:tc>
        <w:tc>
          <w:tcPr>
            <w:tcW w:w="624" w:type="dxa"/>
          </w:tcPr>
          <w:p>
            <w:pPr>
              <w:pStyle w:val="0"/>
              <w:jc w:val="center"/>
            </w:pPr>
            <w:r>
              <w:rPr>
                <w:sz w:val="20"/>
              </w:rPr>
              <w:t xml:space="preserve">0,1</w:t>
            </w:r>
          </w:p>
        </w:tc>
        <w:tc>
          <w:tcPr>
            <w:tcW w:w="797" w:type="dxa"/>
          </w:tcPr>
          <w:p>
            <w:pPr>
              <w:pStyle w:val="0"/>
              <w:jc w:val="center"/>
            </w:pPr>
            <w:r>
              <w:rPr>
                <w:sz w:val="20"/>
              </w:rPr>
              <w:t xml:space="preserve">0,2</w:t>
            </w:r>
          </w:p>
        </w:tc>
      </w:tr>
      <w:tr>
        <w:tc>
          <w:tcPr>
            <w:tcW w:w="2778" w:type="dxa"/>
          </w:tcPr>
          <w:p>
            <w:pPr>
              <w:pStyle w:val="0"/>
            </w:pPr>
            <w:r>
              <w:rPr>
                <w:sz w:val="20"/>
              </w:rPr>
              <w:t xml:space="preserve">Деятельность по операциям с недвижимым имуществом</w:t>
            </w:r>
          </w:p>
        </w:tc>
        <w:tc>
          <w:tcPr>
            <w:tcW w:w="624" w:type="dxa"/>
          </w:tcPr>
          <w:p>
            <w:pPr>
              <w:pStyle w:val="0"/>
              <w:jc w:val="center"/>
            </w:pPr>
            <w:r>
              <w:rPr>
                <w:sz w:val="20"/>
              </w:rPr>
              <w:t xml:space="preserve">2,6</w:t>
            </w:r>
          </w:p>
        </w:tc>
        <w:tc>
          <w:tcPr>
            <w:tcW w:w="680" w:type="dxa"/>
          </w:tcPr>
          <w:p>
            <w:pPr>
              <w:pStyle w:val="0"/>
              <w:jc w:val="center"/>
            </w:pPr>
            <w:r>
              <w:rPr>
                <w:sz w:val="20"/>
              </w:rPr>
              <w:t xml:space="preserve">2,7</w:t>
            </w:r>
          </w:p>
        </w:tc>
        <w:tc>
          <w:tcPr>
            <w:tcW w:w="737" w:type="dxa"/>
          </w:tcPr>
          <w:p>
            <w:pPr>
              <w:pStyle w:val="0"/>
              <w:jc w:val="center"/>
            </w:pPr>
            <w:r>
              <w:rPr>
                <w:sz w:val="20"/>
              </w:rPr>
              <w:t xml:space="preserve">1,9</w:t>
            </w:r>
          </w:p>
        </w:tc>
        <w:tc>
          <w:tcPr>
            <w:tcW w:w="624" w:type="dxa"/>
          </w:tcPr>
          <w:p>
            <w:pPr>
              <w:pStyle w:val="0"/>
              <w:jc w:val="center"/>
            </w:pPr>
            <w:r>
              <w:rPr>
                <w:sz w:val="20"/>
              </w:rPr>
              <w:t xml:space="preserve">1,0</w:t>
            </w:r>
          </w:p>
        </w:tc>
        <w:tc>
          <w:tcPr>
            <w:tcW w:w="737" w:type="dxa"/>
          </w:tcPr>
          <w:p>
            <w:pPr>
              <w:pStyle w:val="0"/>
              <w:jc w:val="center"/>
            </w:pPr>
            <w:r>
              <w:rPr>
                <w:sz w:val="20"/>
              </w:rPr>
              <w:t xml:space="preserve">1,3</w:t>
            </w:r>
          </w:p>
        </w:tc>
        <w:tc>
          <w:tcPr>
            <w:tcW w:w="624" w:type="dxa"/>
          </w:tcPr>
          <w:p>
            <w:pPr>
              <w:pStyle w:val="0"/>
              <w:jc w:val="center"/>
            </w:pPr>
            <w:r>
              <w:rPr>
                <w:sz w:val="20"/>
              </w:rPr>
              <w:t xml:space="preserve">0,0</w:t>
            </w:r>
          </w:p>
        </w:tc>
        <w:tc>
          <w:tcPr>
            <w:tcW w:w="794" w:type="dxa"/>
          </w:tcPr>
          <w:p>
            <w:pPr>
              <w:pStyle w:val="0"/>
              <w:jc w:val="center"/>
            </w:pPr>
            <w:r>
              <w:rPr>
                <w:sz w:val="20"/>
              </w:rPr>
              <w:t xml:space="preserve">4,8</w:t>
            </w:r>
          </w:p>
        </w:tc>
        <w:tc>
          <w:tcPr>
            <w:tcW w:w="624" w:type="dxa"/>
          </w:tcPr>
          <w:p>
            <w:pPr>
              <w:pStyle w:val="0"/>
              <w:jc w:val="center"/>
            </w:pPr>
            <w:r>
              <w:rPr>
                <w:sz w:val="20"/>
              </w:rPr>
              <w:t xml:space="preserve">1,3</w:t>
            </w:r>
          </w:p>
        </w:tc>
        <w:tc>
          <w:tcPr>
            <w:tcW w:w="797" w:type="dxa"/>
          </w:tcPr>
          <w:p>
            <w:pPr>
              <w:pStyle w:val="0"/>
              <w:jc w:val="center"/>
            </w:pPr>
            <w:r>
              <w:rPr>
                <w:sz w:val="20"/>
              </w:rPr>
              <w:t xml:space="preserve">3,4</w:t>
            </w:r>
          </w:p>
        </w:tc>
      </w:tr>
      <w:tr>
        <w:tc>
          <w:tcPr>
            <w:tcW w:w="2778" w:type="dxa"/>
          </w:tcPr>
          <w:p>
            <w:pPr>
              <w:pStyle w:val="0"/>
            </w:pPr>
            <w:r>
              <w:rPr>
                <w:sz w:val="20"/>
              </w:rPr>
              <w:t xml:space="preserve">Деятельность профессиональная, научная и техническая</w:t>
            </w:r>
          </w:p>
        </w:tc>
        <w:tc>
          <w:tcPr>
            <w:tcW w:w="624" w:type="dxa"/>
          </w:tcPr>
          <w:p>
            <w:pPr>
              <w:pStyle w:val="0"/>
              <w:jc w:val="center"/>
            </w:pPr>
            <w:r>
              <w:rPr>
                <w:sz w:val="20"/>
              </w:rPr>
              <w:t xml:space="preserve">3,0</w:t>
            </w:r>
          </w:p>
        </w:tc>
        <w:tc>
          <w:tcPr>
            <w:tcW w:w="680" w:type="dxa"/>
          </w:tcPr>
          <w:p>
            <w:pPr>
              <w:pStyle w:val="0"/>
              <w:jc w:val="center"/>
            </w:pPr>
            <w:r>
              <w:rPr>
                <w:sz w:val="20"/>
              </w:rPr>
              <w:t xml:space="preserve">10,8</w:t>
            </w:r>
          </w:p>
        </w:tc>
        <w:tc>
          <w:tcPr>
            <w:tcW w:w="737" w:type="dxa"/>
          </w:tcPr>
          <w:p>
            <w:pPr>
              <w:pStyle w:val="0"/>
              <w:jc w:val="center"/>
            </w:pPr>
            <w:r>
              <w:rPr>
                <w:sz w:val="20"/>
              </w:rPr>
              <w:t xml:space="preserve">1,9</w:t>
            </w:r>
          </w:p>
        </w:tc>
        <w:tc>
          <w:tcPr>
            <w:tcW w:w="624" w:type="dxa"/>
          </w:tcPr>
          <w:p>
            <w:pPr>
              <w:pStyle w:val="0"/>
              <w:jc w:val="center"/>
            </w:pPr>
            <w:r>
              <w:rPr>
                <w:sz w:val="20"/>
              </w:rPr>
              <w:t xml:space="preserve">0,5</w:t>
            </w:r>
          </w:p>
        </w:tc>
        <w:tc>
          <w:tcPr>
            <w:tcW w:w="737" w:type="dxa"/>
          </w:tcPr>
          <w:p>
            <w:pPr>
              <w:pStyle w:val="0"/>
              <w:jc w:val="center"/>
            </w:pPr>
            <w:r>
              <w:rPr>
                <w:sz w:val="20"/>
              </w:rPr>
              <w:t xml:space="preserve">0,3</w:t>
            </w:r>
          </w:p>
        </w:tc>
        <w:tc>
          <w:tcPr>
            <w:tcW w:w="624" w:type="dxa"/>
          </w:tcPr>
          <w:p>
            <w:pPr>
              <w:pStyle w:val="0"/>
              <w:jc w:val="center"/>
            </w:pPr>
            <w:r>
              <w:rPr>
                <w:sz w:val="20"/>
              </w:rPr>
              <w:t xml:space="preserve">0,0</w:t>
            </w:r>
          </w:p>
        </w:tc>
        <w:tc>
          <w:tcPr>
            <w:tcW w:w="794" w:type="dxa"/>
          </w:tcPr>
          <w:p>
            <w:pPr>
              <w:pStyle w:val="0"/>
              <w:jc w:val="center"/>
            </w:pPr>
            <w:r>
              <w:rPr>
                <w:sz w:val="20"/>
              </w:rPr>
              <w:t xml:space="preserve">1,0</w:t>
            </w:r>
          </w:p>
        </w:tc>
        <w:tc>
          <w:tcPr>
            <w:tcW w:w="624" w:type="dxa"/>
          </w:tcPr>
          <w:p>
            <w:pPr>
              <w:pStyle w:val="0"/>
              <w:jc w:val="center"/>
            </w:pPr>
            <w:r>
              <w:rPr>
                <w:sz w:val="20"/>
              </w:rPr>
              <w:t xml:space="preserve">0,5</w:t>
            </w:r>
          </w:p>
        </w:tc>
        <w:tc>
          <w:tcPr>
            <w:tcW w:w="797" w:type="dxa"/>
          </w:tcPr>
          <w:p>
            <w:pPr>
              <w:pStyle w:val="0"/>
              <w:jc w:val="center"/>
            </w:pPr>
            <w:r>
              <w:rPr>
                <w:sz w:val="20"/>
              </w:rPr>
              <w:t xml:space="preserve">0,9</w:t>
            </w:r>
          </w:p>
        </w:tc>
      </w:tr>
      <w:tr>
        <w:tc>
          <w:tcPr>
            <w:tcW w:w="2778" w:type="dxa"/>
          </w:tcPr>
          <w:p>
            <w:pPr>
              <w:pStyle w:val="0"/>
            </w:pPr>
            <w:r>
              <w:rPr>
                <w:sz w:val="20"/>
              </w:rPr>
              <w:t xml:space="preserve">Деятельность административная и сопутствующие дополнительные услуги</w:t>
            </w:r>
          </w:p>
        </w:tc>
        <w:tc>
          <w:tcPr>
            <w:tcW w:w="624" w:type="dxa"/>
          </w:tcPr>
          <w:p>
            <w:pPr>
              <w:pStyle w:val="0"/>
              <w:jc w:val="center"/>
            </w:pPr>
            <w:r>
              <w:rPr>
                <w:sz w:val="20"/>
              </w:rPr>
              <w:t xml:space="preserve">1,8</w:t>
            </w:r>
          </w:p>
        </w:tc>
        <w:tc>
          <w:tcPr>
            <w:tcW w:w="680" w:type="dxa"/>
          </w:tcPr>
          <w:p>
            <w:pPr>
              <w:pStyle w:val="0"/>
              <w:jc w:val="center"/>
            </w:pPr>
            <w:r>
              <w:rPr>
                <w:sz w:val="20"/>
              </w:rPr>
              <w:t xml:space="preserve">1,3</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10,4</w:t>
            </w:r>
          </w:p>
        </w:tc>
        <w:tc>
          <w:tcPr>
            <w:tcW w:w="624" w:type="dxa"/>
          </w:tcPr>
          <w:p>
            <w:pPr>
              <w:pStyle w:val="0"/>
              <w:jc w:val="center"/>
            </w:pPr>
            <w:r>
              <w:rPr>
                <w:sz w:val="20"/>
              </w:rPr>
              <w:t xml:space="preserve">0,1</w:t>
            </w:r>
          </w:p>
        </w:tc>
        <w:tc>
          <w:tcPr>
            <w:tcW w:w="794" w:type="dxa"/>
          </w:tcPr>
          <w:p>
            <w:pPr>
              <w:pStyle w:val="0"/>
              <w:jc w:val="center"/>
            </w:pPr>
            <w:r>
              <w:rPr>
                <w:sz w:val="20"/>
              </w:rPr>
              <w:t xml:space="preserve">0,6</w:t>
            </w:r>
          </w:p>
        </w:tc>
        <w:tc>
          <w:tcPr>
            <w:tcW w:w="624" w:type="dxa"/>
          </w:tcPr>
          <w:p>
            <w:pPr>
              <w:pStyle w:val="0"/>
              <w:jc w:val="center"/>
            </w:pPr>
            <w:r>
              <w:rPr>
                <w:sz w:val="20"/>
              </w:rPr>
              <w:t xml:space="preserve">1,4</w:t>
            </w:r>
          </w:p>
        </w:tc>
        <w:tc>
          <w:tcPr>
            <w:tcW w:w="797" w:type="dxa"/>
          </w:tcPr>
          <w:p>
            <w:pPr>
              <w:pStyle w:val="0"/>
              <w:jc w:val="center"/>
            </w:pPr>
            <w:r>
              <w:rPr>
                <w:sz w:val="20"/>
              </w:rPr>
              <w:t xml:space="preserve">2,4</w:t>
            </w:r>
          </w:p>
        </w:tc>
      </w:tr>
      <w:tr>
        <w:tc>
          <w:tcPr>
            <w:tcW w:w="2778" w:type="dxa"/>
          </w:tcPr>
          <w:p>
            <w:pPr>
              <w:pStyle w:val="0"/>
            </w:pPr>
            <w:r>
              <w:rPr>
                <w:sz w:val="20"/>
              </w:rPr>
              <w:t xml:space="preserve">Госуправление и обеспечение военной безопасности; соцобеспечение</w:t>
            </w:r>
          </w:p>
        </w:tc>
        <w:tc>
          <w:tcPr>
            <w:tcW w:w="624" w:type="dxa"/>
          </w:tcPr>
          <w:p>
            <w:pPr>
              <w:pStyle w:val="0"/>
              <w:jc w:val="center"/>
            </w:pPr>
            <w:r>
              <w:rPr>
                <w:sz w:val="20"/>
              </w:rPr>
              <w:t xml:space="preserve">4,1</w:t>
            </w:r>
          </w:p>
        </w:tc>
        <w:tc>
          <w:tcPr>
            <w:tcW w:w="680" w:type="dxa"/>
          </w:tcPr>
          <w:p>
            <w:pPr>
              <w:pStyle w:val="0"/>
              <w:jc w:val="center"/>
            </w:pPr>
            <w:r>
              <w:rPr>
                <w:sz w:val="20"/>
              </w:rPr>
              <w:t xml:space="preserve">12,8</w:t>
            </w:r>
          </w:p>
        </w:tc>
        <w:tc>
          <w:tcPr>
            <w:tcW w:w="737" w:type="dxa"/>
          </w:tcPr>
          <w:p>
            <w:pPr>
              <w:pStyle w:val="0"/>
              <w:jc w:val="center"/>
            </w:pPr>
            <w:r>
              <w:rPr>
                <w:sz w:val="20"/>
              </w:rPr>
              <w:t xml:space="preserve">6,3</w:t>
            </w:r>
          </w:p>
        </w:tc>
        <w:tc>
          <w:tcPr>
            <w:tcW w:w="624" w:type="dxa"/>
          </w:tcPr>
          <w:p>
            <w:pPr>
              <w:pStyle w:val="0"/>
              <w:jc w:val="center"/>
            </w:pPr>
            <w:r>
              <w:rPr>
                <w:sz w:val="20"/>
              </w:rPr>
              <w:t xml:space="preserve">1,4</w:t>
            </w:r>
          </w:p>
        </w:tc>
        <w:tc>
          <w:tcPr>
            <w:tcW w:w="737" w:type="dxa"/>
          </w:tcPr>
          <w:p>
            <w:pPr>
              <w:pStyle w:val="0"/>
              <w:jc w:val="center"/>
            </w:pPr>
            <w:r>
              <w:rPr>
                <w:sz w:val="20"/>
              </w:rPr>
              <w:t xml:space="preserve">3,6</w:t>
            </w:r>
          </w:p>
        </w:tc>
        <w:tc>
          <w:tcPr>
            <w:tcW w:w="624" w:type="dxa"/>
          </w:tcPr>
          <w:p>
            <w:pPr>
              <w:pStyle w:val="0"/>
              <w:jc w:val="center"/>
            </w:pPr>
            <w:r>
              <w:rPr>
                <w:sz w:val="20"/>
              </w:rPr>
              <w:t xml:space="preserve">0,0</w:t>
            </w:r>
          </w:p>
        </w:tc>
        <w:tc>
          <w:tcPr>
            <w:tcW w:w="794" w:type="dxa"/>
          </w:tcPr>
          <w:p>
            <w:pPr>
              <w:pStyle w:val="0"/>
              <w:jc w:val="center"/>
            </w:pPr>
            <w:r>
              <w:rPr>
                <w:sz w:val="20"/>
              </w:rPr>
              <w:t xml:space="preserve">0,3</w:t>
            </w:r>
          </w:p>
        </w:tc>
        <w:tc>
          <w:tcPr>
            <w:tcW w:w="624" w:type="dxa"/>
          </w:tcPr>
          <w:p>
            <w:pPr>
              <w:pStyle w:val="0"/>
              <w:jc w:val="center"/>
            </w:pPr>
            <w:r>
              <w:rPr>
                <w:sz w:val="20"/>
              </w:rPr>
              <w:t xml:space="preserve">1,2</w:t>
            </w:r>
          </w:p>
        </w:tc>
        <w:tc>
          <w:tcPr>
            <w:tcW w:w="797" w:type="dxa"/>
          </w:tcPr>
          <w:p>
            <w:pPr>
              <w:pStyle w:val="0"/>
              <w:jc w:val="center"/>
            </w:pPr>
            <w:r>
              <w:rPr>
                <w:sz w:val="20"/>
              </w:rPr>
              <w:t xml:space="preserve">0,6</w:t>
            </w:r>
          </w:p>
        </w:tc>
      </w:tr>
      <w:tr>
        <w:tc>
          <w:tcPr>
            <w:tcW w:w="2778" w:type="dxa"/>
          </w:tcPr>
          <w:p>
            <w:pPr>
              <w:pStyle w:val="0"/>
            </w:pPr>
            <w:r>
              <w:rPr>
                <w:sz w:val="20"/>
              </w:rPr>
              <w:t xml:space="preserve">Образование</w:t>
            </w:r>
          </w:p>
        </w:tc>
        <w:tc>
          <w:tcPr>
            <w:tcW w:w="624" w:type="dxa"/>
          </w:tcPr>
          <w:p>
            <w:pPr>
              <w:pStyle w:val="0"/>
              <w:jc w:val="center"/>
            </w:pPr>
            <w:r>
              <w:rPr>
                <w:sz w:val="20"/>
              </w:rPr>
              <w:t xml:space="preserve">4,9</w:t>
            </w:r>
          </w:p>
        </w:tc>
        <w:tc>
          <w:tcPr>
            <w:tcW w:w="680" w:type="dxa"/>
          </w:tcPr>
          <w:p>
            <w:pPr>
              <w:pStyle w:val="0"/>
              <w:jc w:val="center"/>
            </w:pPr>
            <w:r>
              <w:rPr>
                <w:sz w:val="20"/>
              </w:rPr>
              <w:t xml:space="preserve">28,8</w:t>
            </w:r>
          </w:p>
        </w:tc>
        <w:tc>
          <w:tcPr>
            <w:tcW w:w="737" w:type="dxa"/>
          </w:tcPr>
          <w:p>
            <w:pPr>
              <w:pStyle w:val="0"/>
              <w:jc w:val="center"/>
            </w:pPr>
            <w:r>
              <w:rPr>
                <w:sz w:val="20"/>
              </w:rPr>
              <w:t xml:space="preserve">1,5</w:t>
            </w:r>
          </w:p>
        </w:tc>
        <w:tc>
          <w:tcPr>
            <w:tcW w:w="624" w:type="dxa"/>
          </w:tcPr>
          <w:p>
            <w:pPr>
              <w:pStyle w:val="0"/>
              <w:jc w:val="center"/>
            </w:pPr>
            <w:r>
              <w:rPr>
                <w:sz w:val="20"/>
              </w:rPr>
              <w:t xml:space="preserve">1,9</w:t>
            </w:r>
          </w:p>
        </w:tc>
        <w:tc>
          <w:tcPr>
            <w:tcW w:w="737" w:type="dxa"/>
          </w:tcPr>
          <w:p>
            <w:pPr>
              <w:pStyle w:val="0"/>
              <w:jc w:val="center"/>
            </w:pPr>
            <w:r>
              <w:rPr>
                <w:sz w:val="20"/>
              </w:rPr>
              <w:t xml:space="preserve">6,7</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0,9</w:t>
            </w:r>
          </w:p>
        </w:tc>
        <w:tc>
          <w:tcPr>
            <w:tcW w:w="797" w:type="dxa"/>
          </w:tcPr>
          <w:p>
            <w:pPr>
              <w:pStyle w:val="0"/>
              <w:jc w:val="center"/>
            </w:pPr>
            <w:r>
              <w:rPr>
                <w:sz w:val="20"/>
              </w:rPr>
              <w:t xml:space="preserve">6,2</w:t>
            </w:r>
          </w:p>
        </w:tc>
      </w:tr>
      <w:tr>
        <w:tc>
          <w:tcPr>
            <w:tcW w:w="2778" w:type="dxa"/>
          </w:tcPr>
          <w:p>
            <w:pPr>
              <w:pStyle w:val="0"/>
            </w:pPr>
            <w:r>
              <w:rPr>
                <w:sz w:val="20"/>
              </w:rPr>
              <w:t xml:space="preserve">Деятельность в области здравоохранения и социальных услуг</w:t>
            </w:r>
          </w:p>
        </w:tc>
        <w:tc>
          <w:tcPr>
            <w:tcW w:w="624" w:type="dxa"/>
          </w:tcPr>
          <w:p>
            <w:pPr>
              <w:pStyle w:val="0"/>
              <w:jc w:val="center"/>
            </w:pPr>
            <w:r>
              <w:rPr>
                <w:sz w:val="20"/>
              </w:rPr>
              <w:t xml:space="preserve">2,1</w:t>
            </w:r>
          </w:p>
        </w:tc>
        <w:tc>
          <w:tcPr>
            <w:tcW w:w="680" w:type="dxa"/>
          </w:tcPr>
          <w:p>
            <w:pPr>
              <w:pStyle w:val="0"/>
              <w:jc w:val="center"/>
            </w:pPr>
            <w:r>
              <w:rPr>
                <w:sz w:val="20"/>
              </w:rPr>
              <w:t xml:space="preserve">11,3</w:t>
            </w:r>
          </w:p>
        </w:tc>
        <w:tc>
          <w:tcPr>
            <w:tcW w:w="737" w:type="dxa"/>
          </w:tcPr>
          <w:p>
            <w:pPr>
              <w:pStyle w:val="0"/>
              <w:jc w:val="center"/>
            </w:pPr>
            <w:r>
              <w:rPr>
                <w:sz w:val="20"/>
              </w:rPr>
              <w:t xml:space="preserve">17,5</w:t>
            </w:r>
          </w:p>
        </w:tc>
        <w:tc>
          <w:tcPr>
            <w:tcW w:w="624" w:type="dxa"/>
          </w:tcPr>
          <w:p>
            <w:pPr>
              <w:pStyle w:val="0"/>
              <w:jc w:val="center"/>
            </w:pPr>
            <w:r>
              <w:rPr>
                <w:sz w:val="20"/>
              </w:rPr>
              <w:t xml:space="preserve">0,6</w:t>
            </w:r>
          </w:p>
        </w:tc>
        <w:tc>
          <w:tcPr>
            <w:tcW w:w="737" w:type="dxa"/>
          </w:tcPr>
          <w:p>
            <w:pPr>
              <w:pStyle w:val="0"/>
              <w:jc w:val="center"/>
            </w:pPr>
            <w:r>
              <w:rPr>
                <w:sz w:val="20"/>
              </w:rPr>
              <w:t xml:space="preserve">4,5</w:t>
            </w:r>
          </w:p>
        </w:tc>
        <w:tc>
          <w:tcPr>
            <w:tcW w:w="624" w:type="dxa"/>
          </w:tcPr>
          <w:p>
            <w:pPr>
              <w:pStyle w:val="0"/>
              <w:jc w:val="center"/>
            </w:pPr>
            <w:r>
              <w:rPr>
                <w:sz w:val="20"/>
              </w:rPr>
              <w:t xml:space="preserve">0,0</w:t>
            </w:r>
          </w:p>
        </w:tc>
        <w:tc>
          <w:tcPr>
            <w:tcW w:w="794" w:type="dxa"/>
          </w:tcPr>
          <w:p>
            <w:pPr>
              <w:pStyle w:val="0"/>
              <w:jc w:val="center"/>
            </w:pPr>
            <w:r>
              <w:rPr>
                <w:sz w:val="20"/>
              </w:rPr>
              <w:t xml:space="preserve">0,6</w:t>
            </w:r>
          </w:p>
        </w:tc>
        <w:tc>
          <w:tcPr>
            <w:tcW w:w="624" w:type="dxa"/>
          </w:tcPr>
          <w:p>
            <w:pPr>
              <w:pStyle w:val="0"/>
              <w:jc w:val="center"/>
            </w:pPr>
            <w:r>
              <w:rPr>
                <w:sz w:val="20"/>
              </w:rPr>
              <w:t xml:space="preserve">1,5</w:t>
            </w:r>
          </w:p>
        </w:tc>
        <w:tc>
          <w:tcPr>
            <w:tcW w:w="797" w:type="dxa"/>
          </w:tcPr>
          <w:p>
            <w:pPr>
              <w:pStyle w:val="0"/>
              <w:jc w:val="center"/>
            </w:pPr>
            <w:r>
              <w:rPr>
                <w:sz w:val="20"/>
              </w:rPr>
              <w:t xml:space="preserve">3,3</w:t>
            </w:r>
          </w:p>
        </w:tc>
      </w:tr>
      <w:tr>
        <w:tc>
          <w:tcPr>
            <w:tcW w:w="2778" w:type="dxa"/>
          </w:tcPr>
          <w:p>
            <w:pPr>
              <w:pStyle w:val="0"/>
            </w:pPr>
            <w:r>
              <w:rPr>
                <w:sz w:val="20"/>
              </w:rPr>
              <w:t xml:space="preserve">Деятельность в области культуры, спорта, организации досуга и пр.</w:t>
            </w:r>
          </w:p>
        </w:tc>
        <w:tc>
          <w:tcPr>
            <w:tcW w:w="624" w:type="dxa"/>
          </w:tcPr>
          <w:p>
            <w:pPr>
              <w:pStyle w:val="0"/>
              <w:jc w:val="center"/>
            </w:pPr>
            <w:r>
              <w:rPr>
                <w:sz w:val="20"/>
              </w:rPr>
              <w:t xml:space="preserve">1,6</w:t>
            </w:r>
          </w:p>
        </w:tc>
        <w:tc>
          <w:tcPr>
            <w:tcW w:w="680" w:type="dxa"/>
          </w:tcPr>
          <w:p>
            <w:pPr>
              <w:pStyle w:val="0"/>
              <w:jc w:val="center"/>
            </w:pPr>
            <w:r>
              <w:rPr>
                <w:sz w:val="20"/>
              </w:rPr>
              <w:t xml:space="preserve">4,4</w:t>
            </w:r>
          </w:p>
        </w:tc>
        <w:tc>
          <w:tcPr>
            <w:tcW w:w="737" w:type="dxa"/>
          </w:tcPr>
          <w:p>
            <w:pPr>
              <w:pStyle w:val="0"/>
              <w:jc w:val="center"/>
            </w:pPr>
            <w:r>
              <w:rPr>
                <w:sz w:val="20"/>
              </w:rPr>
              <w:t xml:space="preserve">2,2</w:t>
            </w:r>
          </w:p>
        </w:tc>
        <w:tc>
          <w:tcPr>
            <w:tcW w:w="624" w:type="dxa"/>
          </w:tcPr>
          <w:p>
            <w:pPr>
              <w:pStyle w:val="0"/>
              <w:jc w:val="center"/>
            </w:pPr>
            <w:r>
              <w:rPr>
                <w:sz w:val="20"/>
              </w:rPr>
              <w:t xml:space="preserve">0,5</w:t>
            </w:r>
          </w:p>
        </w:tc>
        <w:tc>
          <w:tcPr>
            <w:tcW w:w="737" w:type="dxa"/>
          </w:tcPr>
          <w:p>
            <w:pPr>
              <w:pStyle w:val="0"/>
              <w:jc w:val="center"/>
            </w:pPr>
            <w:r>
              <w:rPr>
                <w:sz w:val="20"/>
              </w:rPr>
              <w:t xml:space="preserve">0,9</w:t>
            </w:r>
          </w:p>
        </w:tc>
        <w:tc>
          <w:tcPr>
            <w:tcW w:w="624" w:type="dxa"/>
          </w:tcPr>
          <w:p>
            <w:pPr>
              <w:pStyle w:val="0"/>
              <w:jc w:val="center"/>
            </w:pPr>
            <w:r>
              <w:rPr>
                <w:sz w:val="20"/>
              </w:rPr>
              <w:t xml:space="preserve">0,1</w:t>
            </w:r>
          </w:p>
        </w:tc>
        <w:tc>
          <w:tcPr>
            <w:tcW w:w="794" w:type="dxa"/>
          </w:tcPr>
          <w:p>
            <w:pPr>
              <w:pStyle w:val="0"/>
              <w:jc w:val="center"/>
            </w:pPr>
            <w:r>
              <w:rPr>
                <w:sz w:val="20"/>
              </w:rPr>
              <w:t xml:space="preserve">0,2</w:t>
            </w:r>
          </w:p>
        </w:tc>
        <w:tc>
          <w:tcPr>
            <w:tcW w:w="624" w:type="dxa"/>
          </w:tcPr>
          <w:p>
            <w:pPr>
              <w:pStyle w:val="0"/>
              <w:jc w:val="center"/>
            </w:pPr>
            <w:r>
              <w:rPr>
                <w:sz w:val="20"/>
              </w:rPr>
              <w:t xml:space="preserve">0,2</w:t>
            </w:r>
          </w:p>
        </w:tc>
        <w:tc>
          <w:tcPr>
            <w:tcW w:w="797" w:type="dxa"/>
          </w:tcPr>
          <w:p>
            <w:pPr>
              <w:pStyle w:val="0"/>
              <w:jc w:val="center"/>
            </w:pPr>
            <w:r>
              <w:rPr>
                <w:sz w:val="20"/>
              </w:rPr>
              <w:t xml:space="preserve">1,1</w:t>
            </w:r>
          </w:p>
        </w:tc>
      </w:tr>
      <w:tr>
        <w:tc>
          <w:tcPr>
            <w:tcW w:w="2778" w:type="dxa"/>
          </w:tcPr>
          <w:p>
            <w:pPr>
              <w:pStyle w:val="0"/>
            </w:pPr>
            <w:r>
              <w:rPr>
                <w:sz w:val="20"/>
              </w:rPr>
              <w:t xml:space="preserve">Предоставление прочих видов услуг</w:t>
            </w:r>
          </w:p>
        </w:tc>
        <w:tc>
          <w:tcPr>
            <w:tcW w:w="624" w:type="dxa"/>
          </w:tcPr>
          <w:p>
            <w:pPr>
              <w:pStyle w:val="0"/>
              <w:jc w:val="center"/>
            </w:pPr>
            <w:r>
              <w:rPr>
                <w:sz w:val="20"/>
              </w:rPr>
              <w:t xml:space="preserve">2,0</w:t>
            </w:r>
          </w:p>
        </w:tc>
        <w:tc>
          <w:tcPr>
            <w:tcW w:w="680" w:type="dxa"/>
          </w:tcPr>
          <w:p>
            <w:pPr>
              <w:pStyle w:val="0"/>
              <w:jc w:val="center"/>
            </w:pPr>
            <w:r>
              <w:rPr>
                <w:sz w:val="20"/>
              </w:rPr>
              <w:t xml:space="preserve">2,4</w:t>
            </w:r>
          </w:p>
        </w:tc>
        <w:tc>
          <w:tcPr>
            <w:tcW w:w="737" w:type="dxa"/>
          </w:tcPr>
          <w:p>
            <w:pPr>
              <w:pStyle w:val="0"/>
              <w:jc w:val="center"/>
            </w:pPr>
            <w:r>
              <w:rPr>
                <w:sz w:val="20"/>
              </w:rPr>
              <w:t xml:space="preserve">4,4</w:t>
            </w:r>
          </w:p>
        </w:tc>
        <w:tc>
          <w:tcPr>
            <w:tcW w:w="624" w:type="dxa"/>
          </w:tcPr>
          <w:p>
            <w:pPr>
              <w:pStyle w:val="0"/>
              <w:jc w:val="center"/>
            </w:pPr>
            <w:r>
              <w:rPr>
                <w:sz w:val="20"/>
              </w:rPr>
              <w:t xml:space="preserve">0,2</w:t>
            </w:r>
          </w:p>
        </w:tc>
        <w:tc>
          <w:tcPr>
            <w:tcW w:w="737" w:type="dxa"/>
          </w:tcPr>
          <w:p>
            <w:pPr>
              <w:pStyle w:val="0"/>
              <w:jc w:val="center"/>
            </w:pPr>
            <w:r>
              <w:rPr>
                <w:sz w:val="20"/>
              </w:rPr>
              <w:t xml:space="preserve">7,3</w:t>
            </w:r>
          </w:p>
        </w:tc>
        <w:tc>
          <w:tcPr>
            <w:tcW w:w="624" w:type="dxa"/>
          </w:tcPr>
          <w:p>
            <w:pPr>
              <w:pStyle w:val="0"/>
              <w:jc w:val="center"/>
            </w:pPr>
            <w:r>
              <w:rPr>
                <w:sz w:val="20"/>
              </w:rPr>
              <w:t xml:space="preserve">0,0</w:t>
            </w:r>
          </w:p>
        </w:tc>
        <w:tc>
          <w:tcPr>
            <w:tcW w:w="794" w:type="dxa"/>
          </w:tcPr>
          <w:p>
            <w:pPr>
              <w:pStyle w:val="0"/>
              <w:jc w:val="center"/>
            </w:pPr>
            <w:r>
              <w:rPr>
                <w:sz w:val="20"/>
              </w:rPr>
              <w:t xml:space="preserve">1,3</w:t>
            </w:r>
          </w:p>
        </w:tc>
        <w:tc>
          <w:tcPr>
            <w:tcW w:w="624" w:type="dxa"/>
          </w:tcPr>
          <w:p>
            <w:pPr>
              <w:pStyle w:val="0"/>
              <w:jc w:val="center"/>
            </w:pPr>
            <w:r>
              <w:rPr>
                <w:sz w:val="20"/>
              </w:rPr>
              <w:t xml:space="preserve">1,6</w:t>
            </w:r>
          </w:p>
        </w:tc>
        <w:tc>
          <w:tcPr>
            <w:tcW w:w="797" w:type="dxa"/>
          </w:tcPr>
          <w:p>
            <w:pPr>
              <w:pStyle w:val="0"/>
              <w:jc w:val="center"/>
            </w:pPr>
            <w:r>
              <w:rPr>
                <w:sz w:val="20"/>
              </w:rPr>
              <w:t xml:space="preserve">2,7</w:t>
            </w:r>
          </w:p>
        </w:tc>
      </w:tr>
      <w:tr>
        <w:tc>
          <w:tcPr>
            <w:tcW w:w="2778" w:type="dxa"/>
          </w:tcPr>
          <w:p>
            <w:pPr>
              <w:pStyle w:val="0"/>
            </w:pPr>
            <w:r>
              <w:rPr>
                <w:sz w:val="20"/>
              </w:rPr>
              <w:t xml:space="preserve">Итого</w:t>
            </w:r>
          </w:p>
        </w:tc>
        <w:tc>
          <w:tcPr>
            <w:tcW w:w="624" w:type="dxa"/>
          </w:tcPr>
          <w:p>
            <w:pPr>
              <w:pStyle w:val="0"/>
              <w:jc w:val="center"/>
            </w:pPr>
            <w:r>
              <w:rPr>
                <w:sz w:val="20"/>
              </w:rPr>
              <w:t xml:space="preserve">77,2</w:t>
            </w:r>
          </w:p>
        </w:tc>
        <w:tc>
          <w:tcPr>
            <w:tcW w:w="680" w:type="dxa"/>
          </w:tcPr>
          <w:p>
            <w:pPr>
              <w:pStyle w:val="0"/>
              <w:jc w:val="center"/>
            </w:pPr>
            <w:r>
              <w:rPr>
                <w:sz w:val="20"/>
              </w:rPr>
              <w:t xml:space="preserve">146,5</w:t>
            </w:r>
          </w:p>
        </w:tc>
        <w:tc>
          <w:tcPr>
            <w:tcW w:w="737" w:type="dxa"/>
          </w:tcPr>
          <w:p>
            <w:pPr>
              <w:pStyle w:val="0"/>
              <w:jc w:val="center"/>
            </w:pPr>
            <w:r>
              <w:rPr>
                <w:sz w:val="20"/>
              </w:rPr>
              <w:t xml:space="preserve">87,9</w:t>
            </w:r>
          </w:p>
        </w:tc>
        <w:tc>
          <w:tcPr>
            <w:tcW w:w="624" w:type="dxa"/>
          </w:tcPr>
          <w:p>
            <w:pPr>
              <w:pStyle w:val="0"/>
              <w:jc w:val="center"/>
            </w:pPr>
            <w:r>
              <w:rPr>
                <w:sz w:val="20"/>
              </w:rPr>
              <w:t xml:space="preserve">41,6</w:t>
            </w:r>
          </w:p>
        </w:tc>
        <w:tc>
          <w:tcPr>
            <w:tcW w:w="737" w:type="dxa"/>
          </w:tcPr>
          <w:p>
            <w:pPr>
              <w:pStyle w:val="0"/>
              <w:jc w:val="center"/>
            </w:pPr>
            <w:r>
              <w:rPr>
                <w:sz w:val="20"/>
              </w:rPr>
              <w:t xml:space="preserve">101,2</w:t>
            </w:r>
          </w:p>
        </w:tc>
        <w:tc>
          <w:tcPr>
            <w:tcW w:w="624" w:type="dxa"/>
          </w:tcPr>
          <w:p>
            <w:pPr>
              <w:pStyle w:val="0"/>
              <w:jc w:val="center"/>
            </w:pPr>
            <w:r>
              <w:rPr>
                <w:sz w:val="20"/>
              </w:rPr>
              <w:t xml:space="preserve">7,7</w:t>
            </w:r>
          </w:p>
        </w:tc>
        <w:tc>
          <w:tcPr>
            <w:tcW w:w="794" w:type="dxa"/>
          </w:tcPr>
          <w:p>
            <w:pPr>
              <w:pStyle w:val="0"/>
              <w:jc w:val="center"/>
            </w:pPr>
            <w:r>
              <w:rPr>
                <w:sz w:val="20"/>
              </w:rPr>
              <w:t xml:space="preserve">114,9</w:t>
            </w:r>
          </w:p>
        </w:tc>
        <w:tc>
          <w:tcPr>
            <w:tcW w:w="624" w:type="dxa"/>
          </w:tcPr>
          <w:p>
            <w:pPr>
              <w:pStyle w:val="0"/>
              <w:jc w:val="center"/>
            </w:pPr>
            <w:r>
              <w:rPr>
                <w:sz w:val="20"/>
              </w:rPr>
              <w:t xml:space="preserve">95,1</w:t>
            </w:r>
          </w:p>
        </w:tc>
        <w:tc>
          <w:tcPr>
            <w:tcW w:w="797" w:type="dxa"/>
          </w:tcPr>
          <w:p>
            <w:pPr>
              <w:pStyle w:val="0"/>
              <w:jc w:val="center"/>
            </w:pPr>
            <w:r>
              <w:rPr>
                <w:sz w:val="20"/>
              </w:rPr>
              <w:t xml:space="preserve">66,1</w:t>
            </w:r>
          </w:p>
        </w:tc>
      </w:tr>
      <w:tr>
        <w:tc>
          <w:tcPr>
            <w:tcW w:w="2778" w:type="dxa"/>
          </w:tcPr>
          <w:p>
            <w:pPr>
              <w:pStyle w:val="0"/>
            </w:pPr>
            <w:r>
              <w:rPr>
                <w:sz w:val="20"/>
              </w:rPr>
              <w:t xml:space="preserve">&lt;*&gt; код укрупненной группы занятий в соответствии с Общероссийским классификатором занятий ("ОК 010-2014 (МСКЗ-08). Общероссийский классификатор занятий" (принят и введен в действие </w:t>
            </w:r>
            <w:hyperlink w:history="0" r:id="rId110" w:tooltip="&quot;ОК 010-2014 (МСКЗ-08). Общероссийский классификатор занятий&quot; (принят и введен в действие Приказом Росстандарта от 12.12.2014 N 2020-ст) (ред. от 18.02.2021) {КонсультантПлюс}">
              <w:r>
                <w:rPr>
                  <w:sz w:val="20"/>
                  <w:color w:val="0000ff"/>
                </w:rPr>
                <w:t xml:space="preserve">Приказом</w:t>
              </w:r>
            </w:hyperlink>
            <w:r>
              <w:rPr>
                <w:sz w:val="20"/>
              </w:rPr>
              <w:t xml:space="preserve"> Росстандарта от 12.12.2014 N 2020-ст))</w:t>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797" w:type="dxa"/>
          </w:tcPr>
          <w:p>
            <w:pPr>
              <w:pStyle w:val="0"/>
            </w:pPr>
            <w:r>
              <w:rPr>
                <w:sz w:val="20"/>
              </w:rPr>
            </w:r>
          </w:p>
        </w:tc>
      </w:tr>
    </w:tbl>
    <w:p>
      <w:pPr>
        <w:pStyle w:val="0"/>
      </w:pPr>
      <w:r>
        <w:rPr>
          <w:sz w:val="20"/>
        </w:rPr>
      </w:r>
    </w:p>
    <w:p>
      <w:pPr>
        <w:pStyle w:val="2"/>
        <w:outlineLvl w:val="2"/>
        <w:jc w:val="center"/>
      </w:pPr>
      <w:r>
        <w:rPr>
          <w:sz w:val="20"/>
        </w:rPr>
        <w:t xml:space="preserve">Прогноз потребности отраслей экономики Тульской области</w:t>
      </w:r>
    </w:p>
    <w:p>
      <w:pPr>
        <w:pStyle w:val="2"/>
        <w:jc w:val="center"/>
      </w:pPr>
      <w:r>
        <w:rPr>
          <w:sz w:val="20"/>
        </w:rPr>
        <w:t xml:space="preserve">в специалистах различных профессионально-квалификационных</w:t>
      </w:r>
    </w:p>
    <w:p>
      <w:pPr>
        <w:pStyle w:val="2"/>
        <w:jc w:val="center"/>
      </w:pPr>
      <w:r>
        <w:rPr>
          <w:sz w:val="20"/>
        </w:rPr>
        <w:t xml:space="preserve">групп в 2030 году, тыс. человек</w:t>
      </w:r>
    </w:p>
    <w:p>
      <w:pPr>
        <w:pStyle w:val="0"/>
      </w:pPr>
      <w:r>
        <w:rPr>
          <w:sz w:val="20"/>
        </w:rPr>
      </w:r>
    </w:p>
    <w:p>
      <w:pPr>
        <w:pStyle w:val="0"/>
        <w:outlineLvl w:val="3"/>
        <w:jc w:val="right"/>
      </w:pPr>
      <w:r>
        <w:rPr>
          <w:sz w:val="20"/>
        </w:rPr>
        <w:t xml:space="preserve">Таблица 5</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624"/>
        <w:gridCol w:w="680"/>
        <w:gridCol w:w="737"/>
        <w:gridCol w:w="624"/>
        <w:gridCol w:w="737"/>
        <w:gridCol w:w="624"/>
        <w:gridCol w:w="794"/>
        <w:gridCol w:w="624"/>
        <w:gridCol w:w="797"/>
      </w:tblGrid>
      <w:tr>
        <w:tc>
          <w:tcPr>
            <w:tcW w:w="2778" w:type="dxa"/>
            <w:vMerge w:val="restart"/>
          </w:tcPr>
          <w:p>
            <w:pPr>
              <w:pStyle w:val="0"/>
              <w:jc w:val="center"/>
            </w:pPr>
            <w:r>
              <w:rPr>
                <w:sz w:val="20"/>
              </w:rPr>
              <w:t xml:space="preserve">Виды экономической деятельности</w:t>
            </w:r>
          </w:p>
        </w:tc>
        <w:tc>
          <w:tcPr>
            <w:gridSpan w:val="9"/>
            <w:tcW w:w="6241" w:type="dxa"/>
          </w:tcPr>
          <w:p>
            <w:pPr>
              <w:pStyle w:val="0"/>
              <w:jc w:val="center"/>
            </w:pPr>
            <w:r>
              <w:rPr>
                <w:sz w:val="20"/>
              </w:rPr>
              <w:t xml:space="preserve">Группы занятий &lt;*&gt;</w:t>
            </w:r>
          </w:p>
        </w:tc>
      </w:tr>
      <w:tr>
        <w:tc>
          <w:tcPr>
            <w:vMerge w:val="continue"/>
          </w:tcPr>
          <w:p/>
        </w:tc>
        <w:tc>
          <w:tcPr>
            <w:tcW w:w="624" w:type="dxa"/>
          </w:tcPr>
          <w:p>
            <w:pPr>
              <w:pStyle w:val="0"/>
              <w:jc w:val="center"/>
            </w:pPr>
            <w:r>
              <w:rPr>
                <w:sz w:val="20"/>
              </w:rPr>
              <w:t xml:space="preserve">1</w:t>
            </w:r>
          </w:p>
        </w:tc>
        <w:tc>
          <w:tcPr>
            <w:tcW w:w="680" w:type="dxa"/>
          </w:tcPr>
          <w:p>
            <w:pPr>
              <w:pStyle w:val="0"/>
              <w:jc w:val="center"/>
            </w:pPr>
            <w:r>
              <w:rPr>
                <w:sz w:val="20"/>
              </w:rPr>
              <w:t xml:space="preserve">2</w:t>
            </w:r>
          </w:p>
        </w:tc>
        <w:tc>
          <w:tcPr>
            <w:tcW w:w="737" w:type="dxa"/>
          </w:tcPr>
          <w:p>
            <w:pPr>
              <w:pStyle w:val="0"/>
              <w:jc w:val="center"/>
            </w:pPr>
            <w:r>
              <w:rPr>
                <w:sz w:val="20"/>
              </w:rPr>
              <w:t xml:space="preserve">3</w:t>
            </w:r>
          </w:p>
        </w:tc>
        <w:tc>
          <w:tcPr>
            <w:tcW w:w="624" w:type="dxa"/>
          </w:tcPr>
          <w:p>
            <w:pPr>
              <w:pStyle w:val="0"/>
              <w:jc w:val="center"/>
            </w:pPr>
            <w:r>
              <w:rPr>
                <w:sz w:val="20"/>
              </w:rPr>
              <w:t xml:space="preserve">4</w:t>
            </w:r>
          </w:p>
        </w:tc>
        <w:tc>
          <w:tcPr>
            <w:tcW w:w="737" w:type="dxa"/>
          </w:tcPr>
          <w:p>
            <w:pPr>
              <w:pStyle w:val="0"/>
              <w:jc w:val="center"/>
            </w:pPr>
            <w:r>
              <w:rPr>
                <w:sz w:val="20"/>
              </w:rPr>
              <w:t xml:space="preserve">5</w:t>
            </w:r>
          </w:p>
        </w:tc>
        <w:tc>
          <w:tcPr>
            <w:tcW w:w="624" w:type="dxa"/>
          </w:tcPr>
          <w:p>
            <w:pPr>
              <w:pStyle w:val="0"/>
              <w:jc w:val="center"/>
            </w:pPr>
            <w:r>
              <w:rPr>
                <w:sz w:val="20"/>
              </w:rPr>
              <w:t xml:space="preserve">6</w:t>
            </w:r>
          </w:p>
        </w:tc>
        <w:tc>
          <w:tcPr>
            <w:tcW w:w="794" w:type="dxa"/>
          </w:tcPr>
          <w:p>
            <w:pPr>
              <w:pStyle w:val="0"/>
              <w:jc w:val="center"/>
            </w:pPr>
            <w:r>
              <w:rPr>
                <w:sz w:val="20"/>
              </w:rPr>
              <w:t xml:space="preserve">7</w:t>
            </w:r>
          </w:p>
        </w:tc>
        <w:tc>
          <w:tcPr>
            <w:tcW w:w="624" w:type="dxa"/>
          </w:tcPr>
          <w:p>
            <w:pPr>
              <w:pStyle w:val="0"/>
              <w:jc w:val="center"/>
            </w:pPr>
            <w:r>
              <w:rPr>
                <w:sz w:val="20"/>
              </w:rPr>
              <w:t xml:space="preserve">8</w:t>
            </w:r>
          </w:p>
        </w:tc>
        <w:tc>
          <w:tcPr>
            <w:tcW w:w="797" w:type="dxa"/>
          </w:tcPr>
          <w:p>
            <w:pPr>
              <w:pStyle w:val="0"/>
              <w:jc w:val="center"/>
            </w:pPr>
            <w:r>
              <w:rPr>
                <w:sz w:val="20"/>
              </w:rPr>
              <w:t xml:space="preserve">9</w:t>
            </w:r>
          </w:p>
        </w:tc>
      </w:tr>
      <w:tr>
        <w:tc>
          <w:tcPr>
            <w:tcW w:w="2778" w:type="dxa"/>
          </w:tcPr>
          <w:p>
            <w:pPr>
              <w:pStyle w:val="0"/>
            </w:pPr>
            <w:r>
              <w:rPr>
                <w:sz w:val="20"/>
              </w:rPr>
              <w:t xml:space="preserve">Сельское, лесное хозяйство, охота, рыболовство и рыбоводство</w:t>
            </w:r>
          </w:p>
        </w:tc>
        <w:tc>
          <w:tcPr>
            <w:tcW w:w="624" w:type="dxa"/>
          </w:tcPr>
          <w:p>
            <w:pPr>
              <w:pStyle w:val="0"/>
              <w:jc w:val="center"/>
            </w:pPr>
            <w:r>
              <w:rPr>
                <w:sz w:val="20"/>
              </w:rPr>
              <w:t xml:space="preserve">2,8</w:t>
            </w:r>
          </w:p>
        </w:tc>
        <w:tc>
          <w:tcPr>
            <w:tcW w:w="680" w:type="dxa"/>
          </w:tcPr>
          <w:p>
            <w:pPr>
              <w:pStyle w:val="0"/>
              <w:jc w:val="center"/>
            </w:pPr>
            <w:r>
              <w:rPr>
                <w:sz w:val="20"/>
              </w:rPr>
              <w:t xml:space="preserve">4,4</w:t>
            </w:r>
          </w:p>
        </w:tc>
        <w:tc>
          <w:tcPr>
            <w:tcW w:w="737" w:type="dxa"/>
          </w:tcPr>
          <w:p>
            <w:pPr>
              <w:pStyle w:val="0"/>
              <w:jc w:val="center"/>
            </w:pPr>
            <w:r>
              <w:rPr>
                <w:sz w:val="20"/>
              </w:rPr>
              <w:t xml:space="preserve">2,1</w:t>
            </w:r>
          </w:p>
        </w:tc>
        <w:tc>
          <w:tcPr>
            <w:tcW w:w="624" w:type="dxa"/>
          </w:tcPr>
          <w:p>
            <w:pPr>
              <w:pStyle w:val="0"/>
              <w:jc w:val="center"/>
            </w:pPr>
            <w:r>
              <w:rPr>
                <w:sz w:val="20"/>
              </w:rPr>
              <w:t xml:space="preserve">1,6</w:t>
            </w:r>
          </w:p>
        </w:tc>
        <w:tc>
          <w:tcPr>
            <w:tcW w:w="737" w:type="dxa"/>
          </w:tcPr>
          <w:p>
            <w:pPr>
              <w:pStyle w:val="0"/>
              <w:jc w:val="center"/>
            </w:pPr>
            <w:r>
              <w:rPr>
                <w:sz w:val="20"/>
              </w:rPr>
              <w:t xml:space="preserve">2,1</w:t>
            </w:r>
          </w:p>
        </w:tc>
        <w:tc>
          <w:tcPr>
            <w:tcW w:w="624" w:type="dxa"/>
          </w:tcPr>
          <w:p>
            <w:pPr>
              <w:pStyle w:val="0"/>
              <w:jc w:val="center"/>
            </w:pPr>
            <w:r>
              <w:rPr>
                <w:sz w:val="20"/>
              </w:rPr>
              <w:t xml:space="preserve">7,2</w:t>
            </w:r>
          </w:p>
        </w:tc>
        <w:tc>
          <w:tcPr>
            <w:tcW w:w="794" w:type="dxa"/>
          </w:tcPr>
          <w:p>
            <w:pPr>
              <w:pStyle w:val="0"/>
              <w:jc w:val="center"/>
            </w:pPr>
            <w:r>
              <w:rPr>
                <w:sz w:val="20"/>
              </w:rPr>
              <w:t xml:space="preserve">3,6</w:t>
            </w:r>
          </w:p>
        </w:tc>
        <w:tc>
          <w:tcPr>
            <w:tcW w:w="624" w:type="dxa"/>
          </w:tcPr>
          <w:p>
            <w:pPr>
              <w:pStyle w:val="0"/>
              <w:jc w:val="center"/>
            </w:pPr>
            <w:r>
              <w:rPr>
                <w:sz w:val="20"/>
              </w:rPr>
              <w:t xml:space="preserve">10,0</w:t>
            </w:r>
          </w:p>
        </w:tc>
        <w:tc>
          <w:tcPr>
            <w:tcW w:w="797" w:type="dxa"/>
          </w:tcPr>
          <w:p>
            <w:pPr>
              <w:pStyle w:val="0"/>
              <w:jc w:val="center"/>
            </w:pPr>
            <w:r>
              <w:rPr>
                <w:sz w:val="20"/>
              </w:rPr>
              <w:t xml:space="preserve">7,0</w:t>
            </w:r>
          </w:p>
        </w:tc>
      </w:tr>
      <w:tr>
        <w:tc>
          <w:tcPr>
            <w:tcW w:w="2778" w:type="dxa"/>
          </w:tcPr>
          <w:p>
            <w:pPr>
              <w:pStyle w:val="0"/>
            </w:pPr>
            <w:r>
              <w:rPr>
                <w:sz w:val="20"/>
              </w:rPr>
              <w:t xml:space="preserve">Добыча полезных ископаемых</w:t>
            </w:r>
          </w:p>
        </w:tc>
        <w:tc>
          <w:tcPr>
            <w:tcW w:w="624" w:type="dxa"/>
          </w:tcPr>
          <w:p>
            <w:pPr>
              <w:pStyle w:val="0"/>
              <w:jc w:val="center"/>
            </w:pPr>
            <w:r>
              <w:rPr>
                <w:sz w:val="20"/>
              </w:rPr>
              <w:t xml:space="preserve">0,2</w:t>
            </w:r>
          </w:p>
        </w:tc>
        <w:tc>
          <w:tcPr>
            <w:tcW w:w="680" w:type="dxa"/>
          </w:tcPr>
          <w:p>
            <w:pPr>
              <w:pStyle w:val="0"/>
              <w:jc w:val="center"/>
            </w:pPr>
            <w:r>
              <w:rPr>
                <w:sz w:val="20"/>
              </w:rPr>
              <w:t xml:space="preserve">0,2</w:t>
            </w:r>
          </w:p>
        </w:tc>
        <w:tc>
          <w:tcPr>
            <w:tcW w:w="737" w:type="dxa"/>
          </w:tcPr>
          <w:p>
            <w:pPr>
              <w:pStyle w:val="0"/>
              <w:jc w:val="center"/>
            </w:pPr>
            <w:r>
              <w:rPr>
                <w:sz w:val="20"/>
              </w:rPr>
              <w:t xml:space="preserve">0,1</w:t>
            </w:r>
          </w:p>
        </w:tc>
        <w:tc>
          <w:tcPr>
            <w:tcW w:w="624" w:type="dxa"/>
          </w:tcPr>
          <w:p>
            <w:pPr>
              <w:pStyle w:val="0"/>
              <w:jc w:val="center"/>
            </w:pPr>
            <w:r>
              <w:rPr>
                <w:sz w:val="20"/>
              </w:rPr>
              <w:t xml:space="preserve">0,1</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1,1</w:t>
            </w:r>
          </w:p>
        </w:tc>
        <w:tc>
          <w:tcPr>
            <w:tcW w:w="797" w:type="dxa"/>
          </w:tcPr>
          <w:p>
            <w:pPr>
              <w:pStyle w:val="0"/>
              <w:jc w:val="center"/>
            </w:pPr>
            <w:r>
              <w:rPr>
                <w:sz w:val="20"/>
              </w:rPr>
              <w:t xml:space="preserve">0,1</w:t>
            </w:r>
          </w:p>
        </w:tc>
      </w:tr>
      <w:tr>
        <w:tc>
          <w:tcPr>
            <w:tcW w:w="2778" w:type="dxa"/>
          </w:tcPr>
          <w:p>
            <w:pPr>
              <w:pStyle w:val="0"/>
            </w:pPr>
            <w:r>
              <w:rPr>
                <w:sz w:val="20"/>
              </w:rPr>
              <w:t xml:space="preserve">Обрабатывающие производства</w:t>
            </w:r>
          </w:p>
        </w:tc>
        <w:tc>
          <w:tcPr>
            <w:tcW w:w="624" w:type="dxa"/>
          </w:tcPr>
          <w:p>
            <w:pPr>
              <w:pStyle w:val="0"/>
              <w:jc w:val="center"/>
            </w:pPr>
            <w:r>
              <w:rPr>
                <w:sz w:val="20"/>
              </w:rPr>
              <w:t xml:space="preserve">15,1</w:t>
            </w:r>
          </w:p>
        </w:tc>
        <w:tc>
          <w:tcPr>
            <w:tcW w:w="680" w:type="dxa"/>
          </w:tcPr>
          <w:p>
            <w:pPr>
              <w:pStyle w:val="0"/>
              <w:jc w:val="center"/>
            </w:pPr>
            <w:r>
              <w:rPr>
                <w:sz w:val="20"/>
              </w:rPr>
              <w:t xml:space="preserve">24,1</w:t>
            </w:r>
          </w:p>
        </w:tc>
        <w:tc>
          <w:tcPr>
            <w:tcW w:w="737" w:type="dxa"/>
          </w:tcPr>
          <w:p>
            <w:pPr>
              <w:pStyle w:val="0"/>
              <w:jc w:val="center"/>
            </w:pPr>
            <w:r>
              <w:rPr>
                <w:sz w:val="20"/>
              </w:rPr>
              <w:t xml:space="preserve">14,0</w:t>
            </w:r>
          </w:p>
        </w:tc>
        <w:tc>
          <w:tcPr>
            <w:tcW w:w="624" w:type="dxa"/>
          </w:tcPr>
          <w:p>
            <w:pPr>
              <w:pStyle w:val="0"/>
              <w:jc w:val="center"/>
            </w:pPr>
            <w:r>
              <w:rPr>
                <w:sz w:val="20"/>
              </w:rPr>
              <w:t xml:space="preserve">6,8</w:t>
            </w:r>
          </w:p>
        </w:tc>
        <w:tc>
          <w:tcPr>
            <w:tcW w:w="737" w:type="dxa"/>
          </w:tcPr>
          <w:p>
            <w:pPr>
              <w:pStyle w:val="0"/>
              <w:jc w:val="center"/>
            </w:pPr>
            <w:r>
              <w:rPr>
                <w:sz w:val="20"/>
              </w:rPr>
              <w:t xml:space="preserve">3,6</w:t>
            </w:r>
          </w:p>
        </w:tc>
        <w:tc>
          <w:tcPr>
            <w:tcW w:w="624" w:type="dxa"/>
          </w:tcPr>
          <w:p>
            <w:pPr>
              <w:pStyle w:val="0"/>
              <w:jc w:val="center"/>
            </w:pPr>
            <w:r>
              <w:rPr>
                <w:sz w:val="20"/>
              </w:rPr>
              <w:t xml:space="preserve">0,2</w:t>
            </w:r>
          </w:p>
        </w:tc>
        <w:tc>
          <w:tcPr>
            <w:tcW w:w="794" w:type="dxa"/>
          </w:tcPr>
          <w:p>
            <w:pPr>
              <w:pStyle w:val="0"/>
              <w:jc w:val="center"/>
            </w:pPr>
            <w:r>
              <w:rPr>
                <w:sz w:val="20"/>
              </w:rPr>
              <w:t xml:space="preserve">54,7</w:t>
            </w:r>
          </w:p>
        </w:tc>
        <w:tc>
          <w:tcPr>
            <w:tcW w:w="624" w:type="dxa"/>
          </w:tcPr>
          <w:p>
            <w:pPr>
              <w:pStyle w:val="0"/>
              <w:jc w:val="center"/>
            </w:pPr>
            <w:r>
              <w:rPr>
                <w:sz w:val="20"/>
              </w:rPr>
              <w:t xml:space="preserve">33,6</w:t>
            </w:r>
          </w:p>
        </w:tc>
        <w:tc>
          <w:tcPr>
            <w:tcW w:w="797" w:type="dxa"/>
          </w:tcPr>
          <w:p>
            <w:pPr>
              <w:pStyle w:val="0"/>
              <w:jc w:val="center"/>
            </w:pPr>
            <w:r>
              <w:rPr>
                <w:sz w:val="20"/>
              </w:rPr>
              <w:t xml:space="preserve">14,8</w:t>
            </w:r>
          </w:p>
        </w:tc>
      </w:tr>
      <w:tr>
        <w:tc>
          <w:tcPr>
            <w:tcW w:w="2778" w:type="dxa"/>
          </w:tcPr>
          <w:p>
            <w:pPr>
              <w:pStyle w:val="0"/>
            </w:pPr>
            <w:r>
              <w:rPr>
                <w:sz w:val="20"/>
              </w:rPr>
              <w:t xml:space="preserve">Обеспечение электроэнергией, газом и паром; кондиционирование воздуха</w:t>
            </w:r>
          </w:p>
        </w:tc>
        <w:tc>
          <w:tcPr>
            <w:tcW w:w="624" w:type="dxa"/>
          </w:tcPr>
          <w:p>
            <w:pPr>
              <w:pStyle w:val="0"/>
              <w:jc w:val="center"/>
            </w:pPr>
            <w:r>
              <w:rPr>
                <w:sz w:val="20"/>
              </w:rPr>
              <w:t xml:space="preserve">1,4</w:t>
            </w:r>
          </w:p>
        </w:tc>
        <w:tc>
          <w:tcPr>
            <w:tcW w:w="680" w:type="dxa"/>
          </w:tcPr>
          <w:p>
            <w:pPr>
              <w:pStyle w:val="0"/>
              <w:jc w:val="center"/>
            </w:pPr>
            <w:r>
              <w:rPr>
                <w:sz w:val="20"/>
              </w:rPr>
              <w:t xml:space="preserve">3,0</w:t>
            </w:r>
          </w:p>
        </w:tc>
        <w:tc>
          <w:tcPr>
            <w:tcW w:w="737" w:type="dxa"/>
          </w:tcPr>
          <w:p>
            <w:pPr>
              <w:pStyle w:val="0"/>
              <w:jc w:val="center"/>
            </w:pPr>
            <w:r>
              <w:rPr>
                <w:sz w:val="20"/>
              </w:rPr>
              <w:t xml:space="preserve">2,0</w:t>
            </w:r>
          </w:p>
        </w:tc>
        <w:tc>
          <w:tcPr>
            <w:tcW w:w="624" w:type="dxa"/>
          </w:tcPr>
          <w:p>
            <w:pPr>
              <w:pStyle w:val="0"/>
              <w:jc w:val="center"/>
            </w:pPr>
            <w:r>
              <w:rPr>
                <w:sz w:val="20"/>
              </w:rPr>
              <w:t xml:space="preserve">0,6</w:t>
            </w:r>
          </w:p>
        </w:tc>
        <w:tc>
          <w:tcPr>
            <w:tcW w:w="737" w:type="dxa"/>
          </w:tcPr>
          <w:p>
            <w:pPr>
              <w:pStyle w:val="0"/>
              <w:jc w:val="center"/>
            </w:pPr>
            <w:r>
              <w:rPr>
                <w:sz w:val="20"/>
              </w:rPr>
              <w:t xml:space="preserve">0,2</w:t>
            </w:r>
          </w:p>
        </w:tc>
        <w:tc>
          <w:tcPr>
            <w:tcW w:w="624" w:type="dxa"/>
          </w:tcPr>
          <w:p>
            <w:pPr>
              <w:pStyle w:val="0"/>
              <w:jc w:val="center"/>
            </w:pPr>
            <w:r>
              <w:rPr>
                <w:sz w:val="20"/>
              </w:rPr>
              <w:t xml:space="preserve">0,0</w:t>
            </w:r>
          </w:p>
        </w:tc>
        <w:tc>
          <w:tcPr>
            <w:tcW w:w="794" w:type="dxa"/>
          </w:tcPr>
          <w:p>
            <w:pPr>
              <w:pStyle w:val="0"/>
              <w:jc w:val="center"/>
            </w:pPr>
            <w:r>
              <w:rPr>
                <w:sz w:val="20"/>
              </w:rPr>
              <w:t xml:space="preserve">5,9</w:t>
            </w:r>
          </w:p>
        </w:tc>
        <w:tc>
          <w:tcPr>
            <w:tcW w:w="624" w:type="dxa"/>
          </w:tcPr>
          <w:p>
            <w:pPr>
              <w:pStyle w:val="0"/>
              <w:jc w:val="center"/>
            </w:pPr>
            <w:r>
              <w:rPr>
                <w:sz w:val="20"/>
              </w:rPr>
              <w:t xml:space="preserve">4,0</w:t>
            </w:r>
          </w:p>
        </w:tc>
        <w:tc>
          <w:tcPr>
            <w:tcW w:w="797" w:type="dxa"/>
          </w:tcPr>
          <w:p>
            <w:pPr>
              <w:pStyle w:val="0"/>
              <w:jc w:val="center"/>
            </w:pPr>
            <w:r>
              <w:rPr>
                <w:sz w:val="20"/>
              </w:rPr>
              <w:t xml:space="preserve">0,4</w:t>
            </w:r>
          </w:p>
        </w:tc>
      </w:tr>
      <w:tr>
        <w:tc>
          <w:tcPr>
            <w:tcW w:w="2778" w:type="dxa"/>
          </w:tcPr>
          <w:p>
            <w:pPr>
              <w:pStyle w:val="0"/>
            </w:pPr>
            <w:r>
              <w:rPr>
                <w:sz w:val="20"/>
              </w:rPr>
              <w:t xml:space="preserve">Водоснабжение; водоотведение, организация сбора и утилизации отходов, деятельность по ликвидации загрязнений</w:t>
            </w:r>
          </w:p>
        </w:tc>
        <w:tc>
          <w:tcPr>
            <w:tcW w:w="624" w:type="dxa"/>
          </w:tcPr>
          <w:p>
            <w:pPr>
              <w:pStyle w:val="0"/>
              <w:jc w:val="center"/>
            </w:pPr>
            <w:r>
              <w:rPr>
                <w:sz w:val="20"/>
              </w:rPr>
              <w:t xml:space="preserve">0,7</w:t>
            </w:r>
          </w:p>
        </w:tc>
        <w:tc>
          <w:tcPr>
            <w:tcW w:w="680" w:type="dxa"/>
          </w:tcPr>
          <w:p>
            <w:pPr>
              <w:pStyle w:val="0"/>
              <w:jc w:val="center"/>
            </w:pPr>
            <w:r>
              <w:rPr>
                <w:sz w:val="20"/>
              </w:rPr>
              <w:t xml:space="preserve">0,9</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0,0</w:t>
            </w:r>
          </w:p>
        </w:tc>
        <w:tc>
          <w:tcPr>
            <w:tcW w:w="624" w:type="dxa"/>
          </w:tcPr>
          <w:p>
            <w:pPr>
              <w:pStyle w:val="0"/>
              <w:jc w:val="center"/>
            </w:pPr>
            <w:r>
              <w:rPr>
                <w:sz w:val="20"/>
              </w:rPr>
              <w:t xml:space="preserve">0,0</w:t>
            </w:r>
          </w:p>
        </w:tc>
        <w:tc>
          <w:tcPr>
            <w:tcW w:w="794" w:type="dxa"/>
          </w:tcPr>
          <w:p>
            <w:pPr>
              <w:pStyle w:val="0"/>
              <w:jc w:val="center"/>
            </w:pPr>
            <w:r>
              <w:rPr>
                <w:sz w:val="20"/>
              </w:rPr>
              <w:t xml:space="preserve">1,9</w:t>
            </w:r>
          </w:p>
        </w:tc>
        <w:tc>
          <w:tcPr>
            <w:tcW w:w="624" w:type="dxa"/>
          </w:tcPr>
          <w:p>
            <w:pPr>
              <w:pStyle w:val="0"/>
              <w:jc w:val="center"/>
            </w:pPr>
            <w:r>
              <w:rPr>
                <w:sz w:val="20"/>
              </w:rPr>
              <w:t xml:space="preserve">1,9</w:t>
            </w:r>
          </w:p>
        </w:tc>
        <w:tc>
          <w:tcPr>
            <w:tcW w:w="797" w:type="dxa"/>
          </w:tcPr>
          <w:p>
            <w:pPr>
              <w:pStyle w:val="0"/>
              <w:jc w:val="center"/>
            </w:pPr>
            <w:r>
              <w:rPr>
                <w:sz w:val="20"/>
              </w:rPr>
              <w:t xml:space="preserve">0,4</w:t>
            </w:r>
          </w:p>
        </w:tc>
      </w:tr>
      <w:tr>
        <w:tc>
          <w:tcPr>
            <w:tcW w:w="2778" w:type="dxa"/>
          </w:tcPr>
          <w:p>
            <w:pPr>
              <w:pStyle w:val="0"/>
            </w:pPr>
            <w:r>
              <w:rPr>
                <w:sz w:val="20"/>
              </w:rPr>
              <w:t xml:space="preserve">Строительство</w:t>
            </w:r>
          </w:p>
        </w:tc>
        <w:tc>
          <w:tcPr>
            <w:tcW w:w="624" w:type="dxa"/>
          </w:tcPr>
          <w:p>
            <w:pPr>
              <w:pStyle w:val="0"/>
              <w:jc w:val="center"/>
            </w:pPr>
            <w:r>
              <w:rPr>
                <w:sz w:val="20"/>
              </w:rPr>
              <w:t xml:space="preserve">8,9</w:t>
            </w:r>
          </w:p>
        </w:tc>
        <w:tc>
          <w:tcPr>
            <w:tcW w:w="680" w:type="dxa"/>
          </w:tcPr>
          <w:p>
            <w:pPr>
              <w:pStyle w:val="0"/>
              <w:jc w:val="center"/>
            </w:pPr>
            <w:r>
              <w:rPr>
                <w:sz w:val="20"/>
              </w:rPr>
              <w:t xml:space="preserve">11,2</w:t>
            </w:r>
          </w:p>
        </w:tc>
        <w:tc>
          <w:tcPr>
            <w:tcW w:w="737" w:type="dxa"/>
          </w:tcPr>
          <w:p>
            <w:pPr>
              <w:pStyle w:val="0"/>
              <w:jc w:val="center"/>
            </w:pPr>
            <w:r>
              <w:rPr>
                <w:sz w:val="20"/>
              </w:rPr>
              <w:t xml:space="preserve">5,6</w:t>
            </w:r>
          </w:p>
        </w:tc>
        <w:tc>
          <w:tcPr>
            <w:tcW w:w="624" w:type="dxa"/>
          </w:tcPr>
          <w:p>
            <w:pPr>
              <w:pStyle w:val="0"/>
              <w:jc w:val="center"/>
            </w:pPr>
            <w:r>
              <w:rPr>
                <w:sz w:val="20"/>
              </w:rPr>
              <w:t xml:space="preserve">1,2</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20,0</w:t>
            </w:r>
          </w:p>
        </w:tc>
        <w:tc>
          <w:tcPr>
            <w:tcW w:w="624" w:type="dxa"/>
          </w:tcPr>
          <w:p>
            <w:pPr>
              <w:pStyle w:val="0"/>
              <w:jc w:val="center"/>
            </w:pPr>
            <w:r>
              <w:rPr>
                <w:sz w:val="20"/>
              </w:rPr>
              <w:t xml:space="preserve">10,2</w:t>
            </w:r>
          </w:p>
        </w:tc>
        <w:tc>
          <w:tcPr>
            <w:tcW w:w="797" w:type="dxa"/>
          </w:tcPr>
          <w:p>
            <w:pPr>
              <w:pStyle w:val="0"/>
              <w:jc w:val="center"/>
            </w:pPr>
            <w:r>
              <w:rPr>
                <w:sz w:val="20"/>
              </w:rPr>
              <w:t xml:space="preserve">4,6</w:t>
            </w:r>
          </w:p>
        </w:tc>
      </w:tr>
      <w:tr>
        <w:tc>
          <w:tcPr>
            <w:tcW w:w="2778" w:type="dxa"/>
          </w:tcPr>
          <w:p>
            <w:pPr>
              <w:pStyle w:val="0"/>
            </w:pPr>
            <w:r>
              <w:rPr>
                <w:sz w:val="20"/>
              </w:rPr>
              <w:t xml:space="preserve">Торговля оптовая и розничная; ремонт автотранспортных средств и мотоциклов</w:t>
            </w:r>
          </w:p>
        </w:tc>
        <w:tc>
          <w:tcPr>
            <w:tcW w:w="624" w:type="dxa"/>
          </w:tcPr>
          <w:p>
            <w:pPr>
              <w:pStyle w:val="0"/>
              <w:jc w:val="center"/>
            </w:pPr>
            <w:r>
              <w:rPr>
                <w:sz w:val="20"/>
              </w:rPr>
              <w:t xml:space="preserve">17,3</w:t>
            </w:r>
          </w:p>
        </w:tc>
        <w:tc>
          <w:tcPr>
            <w:tcW w:w="680" w:type="dxa"/>
          </w:tcPr>
          <w:p>
            <w:pPr>
              <w:pStyle w:val="0"/>
              <w:jc w:val="center"/>
            </w:pPr>
            <w:r>
              <w:rPr>
                <w:sz w:val="20"/>
              </w:rPr>
              <w:t xml:space="preserve">12,7</w:t>
            </w:r>
          </w:p>
        </w:tc>
        <w:tc>
          <w:tcPr>
            <w:tcW w:w="737" w:type="dxa"/>
          </w:tcPr>
          <w:p>
            <w:pPr>
              <w:pStyle w:val="0"/>
              <w:jc w:val="center"/>
            </w:pPr>
            <w:r>
              <w:rPr>
                <w:sz w:val="20"/>
              </w:rPr>
              <w:t xml:space="preserve">15,6</w:t>
            </w:r>
          </w:p>
        </w:tc>
        <w:tc>
          <w:tcPr>
            <w:tcW w:w="624" w:type="dxa"/>
          </w:tcPr>
          <w:p>
            <w:pPr>
              <w:pStyle w:val="0"/>
              <w:jc w:val="center"/>
            </w:pPr>
            <w:r>
              <w:rPr>
                <w:sz w:val="20"/>
              </w:rPr>
              <w:t xml:space="preserve">3,3</w:t>
            </w:r>
          </w:p>
        </w:tc>
        <w:tc>
          <w:tcPr>
            <w:tcW w:w="737" w:type="dxa"/>
          </w:tcPr>
          <w:p>
            <w:pPr>
              <w:pStyle w:val="0"/>
              <w:jc w:val="center"/>
            </w:pPr>
            <w:r>
              <w:rPr>
                <w:sz w:val="20"/>
              </w:rPr>
              <w:t xml:space="preserve">45,4</w:t>
            </w:r>
          </w:p>
        </w:tc>
        <w:tc>
          <w:tcPr>
            <w:tcW w:w="624" w:type="dxa"/>
          </w:tcPr>
          <w:p>
            <w:pPr>
              <w:pStyle w:val="0"/>
              <w:jc w:val="center"/>
            </w:pPr>
            <w:r>
              <w:rPr>
                <w:sz w:val="20"/>
              </w:rPr>
              <w:t xml:space="preserve">0,1</w:t>
            </w:r>
          </w:p>
        </w:tc>
        <w:tc>
          <w:tcPr>
            <w:tcW w:w="794" w:type="dxa"/>
          </w:tcPr>
          <w:p>
            <w:pPr>
              <w:pStyle w:val="0"/>
              <w:jc w:val="center"/>
            </w:pPr>
            <w:r>
              <w:rPr>
                <w:sz w:val="20"/>
              </w:rPr>
              <w:t xml:space="preserve">10,3</w:t>
            </w:r>
          </w:p>
        </w:tc>
        <w:tc>
          <w:tcPr>
            <w:tcW w:w="624" w:type="dxa"/>
          </w:tcPr>
          <w:p>
            <w:pPr>
              <w:pStyle w:val="0"/>
              <w:jc w:val="center"/>
            </w:pPr>
            <w:r>
              <w:rPr>
                <w:sz w:val="20"/>
              </w:rPr>
              <w:t xml:space="preserve">7,1</w:t>
            </w:r>
          </w:p>
        </w:tc>
        <w:tc>
          <w:tcPr>
            <w:tcW w:w="797" w:type="dxa"/>
          </w:tcPr>
          <w:p>
            <w:pPr>
              <w:pStyle w:val="0"/>
              <w:jc w:val="center"/>
            </w:pPr>
            <w:r>
              <w:rPr>
                <w:sz w:val="20"/>
              </w:rPr>
              <w:t xml:space="preserve">10,7</w:t>
            </w:r>
          </w:p>
        </w:tc>
      </w:tr>
      <w:tr>
        <w:tc>
          <w:tcPr>
            <w:tcW w:w="2778" w:type="dxa"/>
          </w:tcPr>
          <w:p>
            <w:pPr>
              <w:pStyle w:val="0"/>
            </w:pPr>
            <w:r>
              <w:rPr>
                <w:sz w:val="20"/>
              </w:rPr>
              <w:t xml:space="preserve">Транспортировка и хранение</w:t>
            </w:r>
          </w:p>
        </w:tc>
        <w:tc>
          <w:tcPr>
            <w:tcW w:w="624" w:type="dxa"/>
          </w:tcPr>
          <w:p>
            <w:pPr>
              <w:pStyle w:val="0"/>
              <w:jc w:val="center"/>
            </w:pPr>
            <w:r>
              <w:rPr>
                <w:sz w:val="20"/>
              </w:rPr>
              <w:t xml:space="preserve">2,7</w:t>
            </w:r>
          </w:p>
        </w:tc>
        <w:tc>
          <w:tcPr>
            <w:tcW w:w="680" w:type="dxa"/>
          </w:tcPr>
          <w:p>
            <w:pPr>
              <w:pStyle w:val="0"/>
              <w:jc w:val="center"/>
            </w:pPr>
            <w:r>
              <w:rPr>
                <w:sz w:val="20"/>
              </w:rPr>
              <w:t xml:space="preserve">2,7</w:t>
            </w:r>
          </w:p>
        </w:tc>
        <w:tc>
          <w:tcPr>
            <w:tcW w:w="737" w:type="dxa"/>
          </w:tcPr>
          <w:p>
            <w:pPr>
              <w:pStyle w:val="0"/>
              <w:jc w:val="center"/>
            </w:pPr>
            <w:r>
              <w:rPr>
                <w:sz w:val="20"/>
              </w:rPr>
              <w:t xml:space="preserve">2,7</w:t>
            </w:r>
          </w:p>
        </w:tc>
        <w:tc>
          <w:tcPr>
            <w:tcW w:w="624" w:type="dxa"/>
          </w:tcPr>
          <w:p>
            <w:pPr>
              <w:pStyle w:val="0"/>
              <w:jc w:val="center"/>
            </w:pPr>
            <w:r>
              <w:rPr>
                <w:sz w:val="20"/>
              </w:rPr>
              <w:t xml:space="preserve">19,2</w:t>
            </w:r>
          </w:p>
        </w:tc>
        <w:tc>
          <w:tcPr>
            <w:tcW w:w="737" w:type="dxa"/>
          </w:tcPr>
          <w:p>
            <w:pPr>
              <w:pStyle w:val="0"/>
              <w:jc w:val="center"/>
            </w:pPr>
            <w:r>
              <w:rPr>
                <w:sz w:val="20"/>
              </w:rPr>
              <w:t xml:space="preserve">4,3</w:t>
            </w:r>
          </w:p>
        </w:tc>
        <w:tc>
          <w:tcPr>
            <w:tcW w:w="624" w:type="dxa"/>
          </w:tcPr>
          <w:p>
            <w:pPr>
              <w:pStyle w:val="0"/>
              <w:jc w:val="center"/>
            </w:pPr>
            <w:r>
              <w:rPr>
                <w:sz w:val="20"/>
              </w:rPr>
              <w:t xml:space="preserve">0,0</w:t>
            </w:r>
          </w:p>
        </w:tc>
        <w:tc>
          <w:tcPr>
            <w:tcW w:w="794" w:type="dxa"/>
          </w:tcPr>
          <w:p>
            <w:pPr>
              <w:pStyle w:val="0"/>
              <w:jc w:val="center"/>
            </w:pPr>
            <w:r>
              <w:rPr>
                <w:sz w:val="20"/>
              </w:rPr>
              <w:t xml:space="preserve">6,4</w:t>
            </w:r>
          </w:p>
        </w:tc>
        <w:tc>
          <w:tcPr>
            <w:tcW w:w="624" w:type="dxa"/>
          </w:tcPr>
          <w:p>
            <w:pPr>
              <w:pStyle w:val="0"/>
              <w:jc w:val="center"/>
            </w:pPr>
            <w:r>
              <w:rPr>
                <w:sz w:val="20"/>
              </w:rPr>
              <w:t xml:space="preserve">17,3</w:t>
            </w:r>
          </w:p>
        </w:tc>
        <w:tc>
          <w:tcPr>
            <w:tcW w:w="797" w:type="dxa"/>
          </w:tcPr>
          <w:p>
            <w:pPr>
              <w:pStyle w:val="0"/>
              <w:jc w:val="center"/>
            </w:pPr>
            <w:r>
              <w:rPr>
                <w:sz w:val="20"/>
              </w:rPr>
              <w:t xml:space="preserve">3,4</w:t>
            </w:r>
          </w:p>
        </w:tc>
      </w:tr>
      <w:tr>
        <w:tc>
          <w:tcPr>
            <w:tcW w:w="2778" w:type="dxa"/>
          </w:tcPr>
          <w:p>
            <w:pPr>
              <w:pStyle w:val="0"/>
            </w:pPr>
            <w:r>
              <w:rPr>
                <w:sz w:val="20"/>
              </w:rPr>
              <w:t xml:space="preserve">Деятельность гостиниц и предприятий общественного питания</w:t>
            </w:r>
          </w:p>
        </w:tc>
        <w:tc>
          <w:tcPr>
            <w:tcW w:w="624" w:type="dxa"/>
          </w:tcPr>
          <w:p>
            <w:pPr>
              <w:pStyle w:val="0"/>
              <w:jc w:val="center"/>
            </w:pPr>
            <w:r>
              <w:rPr>
                <w:sz w:val="20"/>
              </w:rPr>
              <w:t xml:space="preserve">1,8</w:t>
            </w:r>
          </w:p>
        </w:tc>
        <w:tc>
          <w:tcPr>
            <w:tcW w:w="680" w:type="dxa"/>
          </w:tcPr>
          <w:p>
            <w:pPr>
              <w:pStyle w:val="0"/>
              <w:jc w:val="center"/>
            </w:pPr>
            <w:r>
              <w:rPr>
                <w:sz w:val="20"/>
              </w:rPr>
              <w:t xml:space="preserve">1,5</w:t>
            </w:r>
          </w:p>
        </w:tc>
        <w:tc>
          <w:tcPr>
            <w:tcW w:w="737" w:type="dxa"/>
          </w:tcPr>
          <w:p>
            <w:pPr>
              <w:pStyle w:val="0"/>
              <w:jc w:val="center"/>
            </w:pPr>
            <w:r>
              <w:rPr>
                <w:sz w:val="20"/>
              </w:rPr>
              <w:t xml:space="preserve">3,4</w:t>
            </w:r>
          </w:p>
        </w:tc>
        <w:tc>
          <w:tcPr>
            <w:tcW w:w="624" w:type="dxa"/>
          </w:tcPr>
          <w:p>
            <w:pPr>
              <w:pStyle w:val="0"/>
              <w:jc w:val="center"/>
            </w:pPr>
            <w:r>
              <w:rPr>
                <w:sz w:val="20"/>
              </w:rPr>
              <w:t xml:space="preserve">0,4</w:t>
            </w:r>
          </w:p>
        </w:tc>
        <w:tc>
          <w:tcPr>
            <w:tcW w:w="737" w:type="dxa"/>
          </w:tcPr>
          <w:p>
            <w:pPr>
              <w:pStyle w:val="0"/>
              <w:jc w:val="center"/>
            </w:pPr>
            <w:r>
              <w:rPr>
                <w:sz w:val="20"/>
              </w:rPr>
              <w:t xml:space="preserve">8,2</w:t>
            </w:r>
          </w:p>
        </w:tc>
        <w:tc>
          <w:tcPr>
            <w:tcW w:w="624" w:type="dxa"/>
          </w:tcPr>
          <w:p>
            <w:pPr>
              <w:pStyle w:val="0"/>
              <w:jc w:val="center"/>
            </w:pPr>
            <w:r>
              <w:rPr>
                <w:sz w:val="20"/>
              </w:rPr>
              <w:t xml:space="preserve">0,1</w:t>
            </w:r>
          </w:p>
        </w:tc>
        <w:tc>
          <w:tcPr>
            <w:tcW w:w="794" w:type="dxa"/>
          </w:tcPr>
          <w:p>
            <w:pPr>
              <w:pStyle w:val="0"/>
              <w:jc w:val="center"/>
            </w:pPr>
            <w:r>
              <w:rPr>
                <w:sz w:val="20"/>
              </w:rPr>
              <w:t xml:space="preserve">1,2</w:t>
            </w:r>
          </w:p>
        </w:tc>
        <w:tc>
          <w:tcPr>
            <w:tcW w:w="624" w:type="dxa"/>
          </w:tcPr>
          <w:p>
            <w:pPr>
              <w:pStyle w:val="0"/>
              <w:jc w:val="center"/>
            </w:pPr>
            <w:r>
              <w:rPr>
                <w:sz w:val="20"/>
              </w:rPr>
              <w:t xml:space="preserve">0,5</w:t>
            </w:r>
          </w:p>
        </w:tc>
        <w:tc>
          <w:tcPr>
            <w:tcW w:w="797" w:type="dxa"/>
          </w:tcPr>
          <w:p>
            <w:pPr>
              <w:pStyle w:val="0"/>
              <w:jc w:val="center"/>
            </w:pPr>
            <w:r>
              <w:rPr>
                <w:sz w:val="20"/>
              </w:rPr>
              <w:t xml:space="preserve">4,0</w:t>
            </w:r>
          </w:p>
        </w:tc>
      </w:tr>
      <w:tr>
        <w:tc>
          <w:tcPr>
            <w:tcW w:w="2778" w:type="dxa"/>
          </w:tcPr>
          <w:p>
            <w:pPr>
              <w:pStyle w:val="0"/>
            </w:pPr>
            <w:r>
              <w:rPr>
                <w:sz w:val="20"/>
              </w:rPr>
              <w:t xml:space="preserve">Деятельность в области информации и связи</w:t>
            </w:r>
          </w:p>
        </w:tc>
        <w:tc>
          <w:tcPr>
            <w:tcW w:w="624" w:type="dxa"/>
          </w:tcPr>
          <w:p>
            <w:pPr>
              <w:pStyle w:val="0"/>
              <w:jc w:val="center"/>
            </w:pPr>
            <w:r>
              <w:rPr>
                <w:sz w:val="20"/>
              </w:rPr>
              <w:t xml:space="preserve">2,2</w:t>
            </w:r>
          </w:p>
        </w:tc>
        <w:tc>
          <w:tcPr>
            <w:tcW w:w="680" w:type="dxa"/>
          </w:tcPr>
          <w:p>
            <w:pPr>
              <w:pStyle w:val="0"/>
              <w:jc w:val="center"/>
            </w:pPr>
            <w:r>
              <w:rPr>
                <w:sz w:val="20"/>
              </w:rPr>
              <w:t xml:space="preserve">7,6</w:t>
            </w:r>
          </w:p>
        </w:tc>
        <w:tc>
          <w:tcPr>
            <w:tcW w:w="737" w:type="dxa"/>
          </w:tcPr>
          <w:p>
            <w:pPr>
              <w:pStyle w:val="0"/>
              <w:jc w:val="center"/>
            </w:pPr>
            <w:r>
              <w:rPr>
                <w:sz w:val="20"/>
              </w:rPr>
              <w:t xml:space="preserve">1,4</w:t>
            </w:r>
          </w:p>
        </w:tc>
        <w:tc>
          <w:tcPr>
            <w:tcW w:w="624" w:type="dxa"/>
          </w:tcPr>
          <w:p>
            <w:pPr>
              <w:pStyle w:val="0"/>
              <w:jc w:val="center"/>
            </w:pPr>
            <w:r>
              <w:rPr>
                <w:sz w:val="20"/>
              </w:rPr>
              <w:t xml:space="preserve">1,0</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1,0</w:t>
            </w:r>
          </w:p>
        </w:tc>
        <w:tc>
          <w:tcPr>
            <w:tcW w:w="624" w:type="dxa"/>
          </w:tcPr>
          <w:p>
            <w:pPr>
              <w:pStyle w:val="0"/>
              <w:jc w:val="center"/>
            </w:pPr>
            <w:r>
              <w:rPr>
                <w:sz w:val="20"/>
              </w:rPr>
              <w:t xml:space="preserve">0,2</w:t>
            </w:r>
          </w:p>
        </w:tc>
        <w:tc>
          <w:tcPr>
            <w:tcW w:w="797" w:type="dxa"/>
          </w:tcPr>
          <w:p>
            <w:pPr>
              <w:pStyle w:val="0"/>
              <w:jc w:val="center"/>
            </w:pPr>
            <w:r>
              <w:rPr>
                <w:sz w:val="20"/>
              </w:rPr>
              <w:t xml:space="preserve">0,1</w:t>
            </w:r>
          </w:p>
        </w:tc>
      </w:tr>
      <w:tr>
        <w:tc>
          <w:tcPr>
            <w:tcW w:w="2778" w:type="dxa"/>
          </w:tcPr>
          <w:p>
            <w:pPr>
              <w:pStyle w:val="0"/>
            </w:pPr>
            <w:r>
              <w:rPr>
                <w:sz w:val="20"/>
              </w:rPr>
              <w:t xml:space="preserve">Деятельность финансовая и страховая</w:t>
            </w:r>
          </w:p>
        </w:tc>
        <w:tc>
          <w:tcPr>
            <w:tcW w:w="624" w:type="dxa"/>
          </w:tcPr>
          <w:p>
            <w:pPr>
              <w:pStyle w:val="0"/>
              <w:jc w:val="center"/>
            </w:pPr>
            <w:r>
              <w:rPr>
                <w:sz w:val="20"/>
              </w:rPr>
              <w:t xml:space="preserve">1,5</w:t>
            </w:r>
          </w:p>
        </w:tc>
        <w:tc>
          <w:tcPr>
            <w:tcW w:w="680" w:type="dxa"/>
          </w:tcPr>
          <w:p>
            <w:pPr>
              <w:pStyle w:val="0"/>
              <w:jc w:val="center"/>
            </w:pPr>
            <w:r>
              <w:rPr>
                <w:sz w:val="20"/>
              </w:rPr>
              <w:t xml:space="preserve">3,8</w:t>
            </w:r>
          </w:p>
        </w:tc>
        <w:tc>
          <w:tcPr>
            <w:tcW w:w="737" w:type="dxa"/>
          </w:tcPr>
          <w:p>
            <w:pPr>
              <w:pStyle w:val="0"/>
              <w:jc w:val="center"/>
            </w:pPr>
            <w:r>
              <w:rPr>
                <w:sz w:val="20"/>
              </w:rPr>
              <w:t xml:space="preserve">3,2</w:t>
            </w:r>
          </w:p>
        </w:tc>
        <w:tc>
          <w:tcPr>
            <w:tcW w:w="624" w:type="dxa"/>
          </w:tcPr>
          <w:p>
            <w:pPr>
              <w:pStyle w:val="0"/>
              <w:jc w:val="center"/>
            </w:pPr>
            <w:r>
              <w:rPr>
                <w:sz w:val="20"/>
              </w:rPr>
              <w:t xml:space="preserve">0,4</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0,1</w:t>
            </w:r>
          </w:p>
        </w:tc>
        <w:tc>
          <w:tcPr>
            <w:tcW w:w="624" w:type="dxa"/>
          </w:tcPr>
          <w:p>
            <w:pPr>
              <w:pStyle w:val="0"/>
              <w:jc w:val="center"/>
            </w:pPr>
            <w:r>
              <w:rPr>
                <w:sz w:val="20"/>
              </w:rPr>
              <w:t xml:space="preserve">0,1</w:t>
            </w:r>
          </w:p>
        </w:tc>
        <w:tc>
          <w:tcPr>
            <w:tcW w:w="797" w:type="dxa"/>
          </w:tcPr>
          <w:p>
            <w:pPr>
              <w:pStyle w:val="0"/>
              <w:jc w:val="center"/>
            </w:pPr>
            <w:r>
              <w:rPr>
                <w:sz w:val="20"/>
              </w:rPr>
              <w:t xml:space="preserve">0,2</w:t>
            </w:r>
          </w:p>
        </w:tc>
      </w:tr>
      <w:tr>
        <w:tc>
          <w:tcPr>
            <w:tcW w:w="2778" w:type="dxa"/>
          </w:tcPr>
          <w:p>
            <w:pPr>
              <w:pStyle w:val="0"/>
            </w:pPr>
            <w:r>
              <w:rPr>
                <w:sz w:val="20"/>
              </w:rPr>
              <w:t xml:space="preserve">Деятельность по операциям с недвижимым имуществом</w:t>
            </w:r>
          </w:p>
        </w:tc>
        <w:tc>
          <w:tcPr>
            <w:tcW w:w="624" w:type="dxa"/>
          </w:tcPr>
          <w:p>
            <w:pPr>
              <w:pStyle w:val="0"/>
              <w:jc w:val="center"/>
            </w:pPr>
            <w:r>
              <w:rPr>
                <w:sz w:val="20"/>
              </w:rPr>
              <w:t xml:space="preserve">2,5</w:t>
            </w:r>
          </w:p>
        </w:tc>
        <w:tc>
          <w:tcPr>
            <w:tcW w:w="680" w:type="dxa"/>
          </w:tcPr>
          <w:p>
            <w:pPr>
              <w:pStyle w:val="0"/>
              <w:jc w:val="center"/>
            </w:pPr>
            <w:r>
              <w:rPr>
                <w:sz w:val="20"/>
              </w:rPr>
              <w:t xml:space="preserve">2,6</w:t>
            </w:r>
          </w:p>
        </w:tc>
        <w:tc>
          <w:tcPr>
            <w:tcW w:w="737" w:type="dxa"/>
          </w:tcPr>
          <w:p>
            <w:pPr>
              <w:pStyle w:val="0"/>
              <w:jc w:val="center"/>
            </w:pPr>
            <w:r>
              <w:rPr>
                <w:sz w:val="20"/>
              </w:rPr>
              <w:t xml:space="preserve">1,9</w:t>
            </w:r>
          </w:p>
        </w:tc>
        <w:tc>
          <w:tcPr>
            <w:tcW w:w="624" w:type="dxa"/>
          </w:tcPr>
          <w:p>
            <w:pPr>
              <w:pStyle w:val="0"/>
              <w:jc w:val="center"/>
            </w:pPr>
            <w:r>
              <w:rPr>
                <w:sz w:val="20"/>
              </w:rPr>
              <w:t xml:space="preserve">1,0</w:t>
            </w:r>
          </w:p>
        </w:tc>
        <w:tc>
          <w:tcPr>
            <w:tcW w:w="737" w:type="dxa"/>
          </w:tcPr>
          <w:p>
            <w:pPr>
              <w:pStyle w:val="0"/>
              <w:jc w:val="center"/>
            </w:pPr>
            <w:r>
              <w:rPr>
                <w:sz w:val="20"/>
              </w:rPr>
              <w:t xml:space="preserve">1,3</w:t>
            </w:r>
          </w:p>
        </w:tc>
        <w:tc>
          <w:tcPr>
            <w:tcW w:w="624" w:type="dxa"/>
          </w:tcPr>
          <w:p>
            <w:pPr>
              <w:pStyle w:val="0"/>
              <w:jc w:val="center"/>
            </w:pPr>
            <w:r>
              <w:rPr>
                <w:sz w:val="20"/>
              </w:rPr>
              <w:t xml:space="preserve">0,0</w:t>
            </w:r>
          </w:p>
        </w:tc>
        <w:tc>
          <w:tcPr>
            <w:tcW w:w="794" w:type="dxa"/>
          </w:tcPr>
          <w:p>
            <w:pPr>
              <w:pStyle w:val="0"/>
              <w:jc w:val="center"/>
            </w:pPr>
            <w:r>
              <w:rPr>
                <w:sz w:val="20"/>
              </w:rPr>
              <w:t xml:space="preserve">4,7</w:t>
            </w:r>
          </w:p>
        </w:tc>
        <w:tc>
          <w:tcPr>
            <w:tcW w:w="624" w:type="dxa"/>
          </w:tcPr>
          <w:p>
            <w:pPr>
              <w:pStyle w:val="0"/>
              <w:jc w:val="center"/>
            </w:pPr>
            <w:r>
              <w:rPr>
                <w:sz w:val="20"/>
              </w:rPr>
              <w:t xml:space="preserve">1,2</w:t>
            </w:r>
          </w:p>
        </w:tc>
        <w:tc>
          <w:tcPr>
            <w:tcW w:w="797" w:type="dxa"/>
          </w:tcPr>
          <w:p>
            <w:pPr>
              <w:pStyle w:val="0"/>
              <w:jc w:val="center"/>
            </w:pPr>
            <w:r>
              <w:rPr>
                <w:sz w:val="20"/>
              </w:rPr>
              <w:t xml:space="preserve">3,4</w:t>
            </w:r>
          </w:p>
        </w:tc>
      </w:tr>
      <w:tr>
        <w:tc>
          <w:tcPr>
            <w:tcW w:w="2778" w:type="dxa"/>
          </w:tcPr>
          <w:p>
            <w:pPr>
              <w:pStyle w:val="0"/>
            </w:pPr>
            <w:r>
              <w:rPr>
                <w:sz w:val="20"/>
              </w:rPr>
              <w:t xml:space="preserve">Деятельность профессиональная, научная и техническая</w:t>
            </w:r>
          </w:p>
        </w:tc>
        <w:tc>
          <w:tcPr>
            <w:tcW w:w="624" w:type="dxa"/>
          </w:tcPr>
          <w:p>
            <w:pPr>
              <w:pStyle w:val="0"/>
              <w:jc w:val="center"/>
            </w:pPr>
            <w:r>
              <w:rPr>
                <w:sz w:val="20"/>
              </w:rPr>
              <w:t xml:space="preserve">2,9</w:t>
            </w:r>
          </w:p>
        </w:tc>
        <w:tc>
          <w:tcPr>
            <w:tcW w:w="680" w:type="dxa"/>
          </w:tcPr>
          <w:p>
            <w:pPr>
              <w:pStyle w:val="0"/>
              <w:jc w:val="center"/>
            </w:pPr>
            <w:r>
              <w:rPr>
                <w:sz w:val="20"/>
              </w:rPr>
              <w:t xml:space="preserve">10,9</w:t>
            </w:r>
          </w:p>
        </w:tc>
        <w:tc>
          <w:tcPr>
            <w:tcW w:w="737" w:type="dxa"/>
          </w:tcPr>
          <w:p>
            <w:pPr>
              <w:pStyle w:val="0"/>
              <w:jc w:val="center"/>
            </w:pPr>
            <w:r>
              <w:rPr>
                <w:sz w:val="20"/>
              </w:rPr>
              <w:t xml:space="preserve">1,9</w:t>
            </w:r>
          </w:p>
        </w:tc>
        <w:tc>
          <w:tcPr>
            <w:tcW w:w="624" w:type="dxa"/>
          </w:tcPr>
          <w:p>
            <w:pPr>
              <w:pStyle w:val="0"/>
              <w:jc w:val="center"/>
            </w:pPr>
            <w:r>
              <w:rPr>
                <w:sz w:val="20"/>
              </w:rPr>
              <w:t xml:space="preserve">0,5</w:t>
            </w:r>
          </w:p>
        </w:tc>
        <w:tc>
          <w:tcPr>
            <w:tcW w:w="737" w:type="dxa"/>
          </w:tcPr>
          <w:p>
            <w:pPr>
              <w:pStyle w:val="0"/>
              <w:jc w:val="center"/>
            </w:pPr>
            <w:r>
              <w:rPr>
                <w:sz w:val="20"/>
              </w:rPr>
              <w:t xml:space="preserve">0,3</w:t>
            </w:r>
          </w:p>
        </w:tc>
        <w:tc>
          <w:tcPr>
            <w:tcW w:w="624" w:type="dxa"/>
          </w:tcPr>
          <w:p>
            <w:pPr>
              <w:pStyle w:val="0"/>
              <w:jc w:val="center"/>
            </w:pPr>
            <w:r>
              <w:rPr>
                <w:sz w:val="20"/>
              </w:rPr>
              <w:t xml:space="preserve">0,0</w:t>
            </w:r>
          </w:p>
        </w:tc>
        <w:tc>
          <w:tcPr>
            <w:tcW w:w="794" w:type="dxa"/>
          </w:tcPr>
          <w:p>
            <w:pPr>
              <w:pStyle w:val="0"/>
              <w:jc w:val="center"/>
            </w:pPr>
            <w:r>
              <w:rPr>
                <w:sz w:val="20"/>
              </w:rPr>
              <w:t xml:space="preserve">1,1</w:t>
            </w:r>
          </w:p>
        </w:tc>
        <w:tc>
          <w:tcPr>
            <w:tcW w:w="624" w:type="dxa"/>
          </w:tcPr>
          <w:p>
            <w:pPr>
              <w:pStyle w:val="0"/>
              <w:jc w:val="center"/>
            </w:pPr>
            <w:r>
              <w:rPr>
                <w:sz w:val="20"/>
              </w:rPr>
              <w:t xml:space="preserve">0,5</w:t>
            </w:r>
          </w:p>
        </w:tc>
        <w:tc>
          <w:tcPr>
            <w:tcW w:w="797" w:type="dxa"/>
          </w:tcPr>
          <w:p>
            <w:pPr>
              <w:pStyle w:val="0"/>
              <w:jc w:val="center"/>
            </w:pPr>
            <w:r>
              <w:rPr>
                <w:sz w:val="20"/>
              </w:rPr>
              <w:t xml:space="preserve">0,9</w:t>
            </w:r>
          </w:p>
        </w:tc>
      </w:tr>
      <w:tr>
        <w:tc>
          <w:tcPr>
            <w:tcW w:w="2778" w:type="dxa"/>
          </w:tcPr>
          <w:p>
            <w:pPr>
              <w:pStyle w:val="0"/>
            </w:pPr>
            <w:r>
              <w:rPr>
                <w:sz w:val="20"/>
              </w:rPr>
              <w:t xml:space="preserve">Деятельность административная и сопутствующие дополнительные услуги</w:t>
            </w:r>
          </w:p>
        </w:tc>
        <w:tc>
          <w:tcPr>
            <w:tcW w:w="624" w:type="dxa"/>
          </w:tcPr>
          <w:p>
            <w:pPr>
              <w:pStyle w:val="0"/>
              <w:jc w:val="center"/>
            </w:pPr>
            <w:r>
              <w:rPr>
                <w:sz w:val="20"/>
              </w:rPr>
              <w:t xml:space="preserve">1,8</w:t>
            </w:r>
          </w:p>
        </w:tc>
        <w:tc>
          <w:tcPr>
            <w:tcW w:w="680" w:type="dxa"/>
          </w:tcPr>
          <w:p>
            <w:pPr>
              <w:pStyle w:val="0"/>
              <w:jc w:val="center"/>
            </w:pPr>
            <w:r>
              <w:rPr>
                <w:sz w:val="20"/>
              </w:rPr>
              <w:t xml:space="preserve">1,3</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10,3</w:t>
            </w:r>
          </w:p>
        </w:tc>
        <w:tc>
          <w:tcPr>
            <w:tcW w:w="624" w:type="dxa"/>
          </w:tcPr>
          <w:p>
            <w:pPr>
              <w:pStyle w:val="0"/>
              <w:jc w:val="center"/>
            </w:pPr>
            <w:r>
              <w:rPr>
                <w:sz w:val="20"/>
              </w:rPr>
              <w:t xml:space="preserve">0,1</w:t>
            </w:r>
          </w:p>
        </w:tc>
        <w:tc>
          <w:tcPr>
            <w:tcW w:w="794" w:type="dxa"/>
          </w:tcPr>
          <w:p>
            <w:pPr>
              <w:pStyle w:val="0"/>
              <w:jc w:val="center"/>
            </w:pPr>
            <w:r>
              <w:rPr>
                <w:sz w:val="20"/>
              </w:rPr>
              <w:t xml:space="preserve">0,6</w:t>
            </w:r>
          </w:p>
        </w:tc>
        <w:tc>
          <w:tcPr>
            <w:tcW w:w="624" w:type="dxa"/>
          </w:tcPr>
          <w:p>
            <w:pPr>
              <w:pStyle w:val="0"/>
              <w:jc w:val="center"/>
            </w:pPr>
            <w:r>
              <w:rPr>
                <w:sz w:val="20"/>
              </w:rPr>
              <w:t xml:space="preserve">1,4</w:t>
            </w:r>
          </w:p>
        </w:tc>
        <w:tc>
          <w:tcPr>
            <w:tcW w:w="797" w:type="dxa"/>
          </w:tcPr>
          <w:p>
            <w:pPr>
              <w:pStyle w:val="0"/>
              <w:jc w:val="center"/>
            </w:pPr>
            <w:r>
              <w:rPr>
                <w:sz w:val="20"/>
              </w:rPr>
              <w:t xml:space="preserve">2,4</w:t>
            </w:r>
          </w:p>
        </w:tc>
      </w:tr>
      <w:tr>
        <w:tc>
          <w:tcPr>
            <w:tcW w:w="2778" w:type="dxa"/>
          </w:tcPr>
          <w:p>
            <w:pPr>
              <w:pStyle w:val="0"/>
            </w:pPr>
            <w:r>
              <w:rPr>
                <w:sz w:val="20"/>
              </w:rPr>
              <w:t xml:space="preserve">Госуправление и обеспечение военной безопасности; соцобеспечение</w:t>
            </w:r>
          </w:p>
        </w:tc>
        <w:tc>
          <w:tcPr>
            <w:tcW w:w="624" w:type="dxa"/>
          </w:tcPr>
          <w:p>
            <w:pPr>
              <w:pStyle w:val="0"/>
              <w:jc w:val="center"/>
            </w:pPr>
            <w:r>
              <w:rPr>
                <w:sz w:val="20"/>
              </w:rPr>
              <w:t xml:space="preserve">4,1</w:t>
            </w:r>
          </w:p>
        </w:tc>
        <w:tc>
          <w:tcPr>
            <w:tcW w:w="680" w:type="dxa"/>
          </w:tcPr>
          <w:p>
            <w:pPr>
              <w:pStyle w:val="0"/>
              <w:jc w:val="center"/>
            </w:pPr>
            <w:r>
              <w:rPr>
                <w:sz w:val="20"/>
              </w:rPr>
              <w:t xml:space="preserve">12,8</w:t>
            </w:r>
          </w:p>
        </w:tc>
        <w:tc>
          <w:tcPr>
            <w:tcW w:w="737" w:type="dxa"/>
          </w:tcPr>
          <w:p>
            <w:pPr>
              <w:pStyle w:val="0"/>
              <w:jc w:val="center"/>
            </w:pPr>
            <w:r>
              <w:rPr>
                <w:sz w:val="20"/>
              </w:rPr>
              <w:t xml:space="preserve">6,4</w:t>
            </w:r>
          </w:p>
        </w:tc>
        <w:tc>
          <w:tcPr>
            <w:tcW w:w="624" w:type="dxa"/>
          </w:tcPr>
          <w:p>
            <w:pPr>
              <w:pStyle w:val="0"/>
              <w:jc w:val="center"/>
            </w:pPr>
            <w:r>
              <w:rPr>
                <w:sz w:val="20"/>
              </w:rPr>
              <w:t xml:space="preserve">1,3</w:t>
            </w:r>
          </w:p>
        </w:tc>
        <w:tc>
          <w:tcPr>
            <w:tcW w:w="737" w:type="dxa"/>
          </w:tcPr>
          <w:p>
            <w:pPr>
              <w:pStyle w:val="0"/>
              <w:jc w:val="center"/>
            </w:pPr>
            <w:r>
              <w:rPr>
                <w:sz w:val="20"/>
              </w:rPr>
              <w:t xml:space="preserve">3,6</w:t>
            </w:r>
          </w:p>
        </w:tc>
        <w:tc>
          <w:tcPr>
            <w:tcW w:w="624" w:type="dxa"/>
          </w:tcPr>
          <w:p>
            <w:pPr>
              <w:pStyle w:val="0"/>
              <w:jc w:val="center"/>
            </w:pPr>
            <w:r>
              <w:rPr>
                <w:sz w:val="20"/>
              </w:rPr>
              <w:t xml:space="preserve">0,0</w:t>
            </w:r>
          </w:p>
        </w:tc>
        <w:tc>
          <w:tcPr>
            <w:tcW w:w="794" w:type="dxa"/>
          </w:tcPr>
          <w:p>
            <w:pPr>
              <w:pStyle w:val="0"/>
              <w:jc w:val="center"/>
            </w:pPr>
            <w:r>
              <w:rPr>
                <w:sz w:val="20"/>
              </w:rPr>
              <w:t xml:space="preserve">0,3</w:t>
            </w:r>
          </w:p>
        </w:tc>
        <w:tc>
          <w:tcPr>
            <w:tcW w:w="624" w:type="dxa"/>
          </w:tcPr>
          <w:p>
            <w:pPr>
              <w:pStyle w:val="0"/>
              <w:jc w:val="center"/>
            </w:pPr>
            <w:r>
              <w:rPr>
                <w:sz w:val="20"/>
              </w:rPr>
              <w:t xml:space="preserve">1,2</w:t>
            </w:r>
          </w:p>
        </w:tc>
        <w:tc>
          <w:tcPr>
            <w:tcW w:w="797" w:type="dxa"/>
          </w:tcPr>
          <w:p>
            <w:pPr>
              <w:pStyle w:val="0"/>
              <w:jc w:val="center"/>
            </w:pPr>
            <w:r>
              <w:rPr>
                <w:sz w:val="20"/>
              </w:rPr>
              <w:t xml:space="preserve">0,6</w:t>
            </w:r>
          </w:p>
        </w:tc>
      </w:tr>
      <w:tr>
        <w:tc>
          <w:tcPr>
            <w:tcW w:w="2778" w:type="dxa"/>
          </w:tcPr>
          <w:p>
            <w:pPr>
              <w:pStyle w:val="0"/>
            </w:pPr>
            <w:r>
              <w:rPr>
                <w:sz w:val="20"/>
              </w:rPr>
              <w:t xml:space="preserve">Образование</w:t>
            </w:r>
          </w:p>
        </w:tc>
        <w:tc>
          <w:tcPr>
            <w:tcW w:w="624" w:type="dxa"/>
          </w:tcPr>
          <w:p>
            <w:pPr>
              <w:pStyle w:val="0"/>
              <w:jc w:val="center"/>
            </w:pPr>
            <w:r>
              <w:rPr>
                <w:sz w:val="20"/>
              </w:rPr>
              <w:t xml:space="preserve">4,9</w:t>
            </w:r>
          </w:p>
        </w:tc>
        <w:tc>
          <w:tcPr>
            <w:tcW w:w="680" w:type="dxa"/>
          </w:tcPr>
          <w:p>
            <w:pPr>
              <w:pStyle w:val="0"/>
              <w:jc w:val="center"/>
            </w:pPr>
            <w:r>
              <w:rPr>
                <w:sz w:val="20"/>
              </w:rPr>
              <w:t xml:space="preserve">28,0</w:t>
            </w:r>
          </w:p>
        </w:tc>
        <w:tc>
          <w:tcPr>
            <w:tcW w:w="737" w:type="dxa"/>
          </w:tcPr>
          <w:p>
            <w:pPr>
              <w:pStyle w:val="0"/>
              <w:jc w:val="center"/>
            </w:pPr>
            <w:r>
              <w:rPr>
                <w:sz w:val="20"/>
              </w:rPr>
              <w:t xml:space="preserve">1,5</w:t>
            </w:r>
          </w:p>
        </w:tc>
        <w:tc>
          <w:tcPr>
            <w:tcW w:w="624" w:type="dxa"/>
          </w:tcPr>
          <w:p>
            <w:pPr>
              <w:pStyle w:val="0"/>
              <w:jc w:val="center"/>
            </w:pPr>
            <w:r>
              <w:rPr>
                <w:sz w:val="20"/>
              </w:rPr>
              <w:t xml:space="preserve">1,9</w:t>
            </w:r>
          </w:p>
        </w:tc>
        <w:tc>
          <w:tcPr>
            <w:tcW w:w="737" w:type="dxa"/>
          </w:tcPr>
          <w:p>
            <w:pPr>
              <w:pStyle w:val="0"/>
              <w:jc w:val="center"/>
            </w:pPr>
            <w:r>
              <w:rPr>
                <w:sz w:val="20"/>
              </w:rPr>
              <w:t xml:space="preserve">6,5</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0,9</w:t>
            </w:r>
          </w:p>
        </w:tc>
        <w:tc>
          <w:tcPr>
            <w:tcW w:w="797" w:type="dxa"/>
          </w:tcPr>
          <w:p>
            <w:pPr>
              <w:pStyle w:val="0"/>
              <w:jc w:val="center"/>
            </w:pPr>
            <w:r>
              <w:rPr>
                <w:sz w:val="20"/>
              </w:rPr>
              <w:t xml:space="preserve">6,1</w:t>
            </w:r>
          </w:p>
        </w:tc>
      </w:tr>
      <w:tr>
        <w:tc>
          <w:tcPr>
            <w:tcW w:w="2778" w:type="dxa"/>
          </w:tcPr>
          <w:p>
            <w:pPr>
              <w:pStyle w:val="0"/>
            </w:pPr>
            <w:r>
              <w:rPr>
                <w:sz w:val="20"/>
              </w:rPr>
              <w:t xml:space="preserve">Деятельность в области здравоохранения и социальных услуг</w:t>
            </w:r>
          </w:p>
        </w:tc>
        <w:tc>
          <w:tcPr>
            <w:tcW w:w="624" w:type="dxa"/>
          </w:tcPr>
          <w:p>
            <w:pPr>
              <w:pStyle w:val="0"/>
              <w:jc w:val="center"/>
            </w:pPr>
            <w:r>
              <w:rPr>
                <w:sz w:val="20"/>
              </w:rPr>
              <w:t xml:space="preserve">2,1</w:t>
            </w:r>
          </w:p>
        </w:tc>
        <w:tc>
          <w:tcPr>
            <w:tcW w:w="680" w:type="dxa"/>
          </w:tcPr>
          <w:p>
            <w:pPr>
              <w:pStyle w:val="0"/>
              <w:jc w:val="center"/>
            </w:pPr>
            <w:r>
              <w:rPr>
                <w:sz w:val="20"/>
              </w:rPr>
              <w:t xml:space="preserve">11,5</w:t>
            </w:r>
          </w:p>
        </w:tc>
        <w:tc>
          <w:tcPr>
            <w:tcW w:w="737" w:type="dxa"/>
          </w:tcPr>
          <w:p>
            <w:pPr>
              <w:pStyle w:val="0"/>
              <w:jc w:val="center"/>
            </w:pPr>
            <w:r>
              <w:rPr>
                <w:sz w:val="20"/>
              </w:rPr>
              <w:t xml:space="preserve">17,5</w:t>
            </w:r>
          </w:p>
        </w:tc>
        <w:tc>
          <w:tcPr>
            <w:tcW w:w="624" w:type="dxa"/>
          </w:tcPr>
          <w:p>
            <w:pPr>
              <w:pStyle w:val="0"/>
              <w:jc w:val="center"/>
            </w:pPr>
            <w:r>
              <w:rPr>
                <w:sz w:val="20"/>
              </w:rPr>
              <w:t xml:space="preserve">0,6</w:t>
            </w:r>
          </w:p>
        </w:tc>
        <w:tc>
          <w:tcPr>
            <w:tcW w:w="737" w:type="dxa"/>
          </w:tcPr>
          <w:p>
            <w:pPr>
              <w:pStyle w:val="0"/>
              <w:jc w:val="center"/>
            </w:pPr>
            <w:r>
              <w:rPr>
                <w:sz w:val="20"/>
              </w:rPr>
              <w:t xml:space="preserve">4,6</w:t>
            </w:r>
          </w:p>
        </w:tc>
        <w:tc>
          <w:tcPr>
            <w:tcW w:w="624" w:type="dxa"/>
          </w:tcPr>
          <w:p>
            <w:pPr>
              <w:pStyle w:val="0"/>
              <w:jc w:val="center"/>
            </w:pPr>
            <w:r>
              <w:rPr>
                <w:sz w:val="20"/>
              </w:rPr>
              <w:t xml:space="preserve">0,0</w:t>
            </w:r>
          </w:p>
        </w:tc>
        <w:tc>
          <w:tcPr>
            <w:tcW w:w="794" w:type="dxa"/>
          </w:tcPr>
          <w:p>
            <w:pPr>
              <w:pStyle w:val="0"/>
              <w:jc w:val="center"/>
            </w:pPr>
            <w:r>
              <w:rPr>
                <w:sz w:val="20"/>
              </w:rPr>
              <w:t xml:space="preserve">0,6</w:t>
            </w:r>
          </w:p>
        </w:tc>
        <w:tc>
          <w:tcPr>
            <w:tcW w:w="624" w:type="dxa"/>
          </w:tcPr>
          <w:p>
            <w:pPr>
              <w:pStyle w:val="0"/>
              <w:jc w:val="center"/>
            </w:pPr>
            <w:r>
              <w:rPr>
                <w:sz w:val="20"/>
              </w:rPr>
              <w:t xml:space="preserve">1,5</w:t>
            </w:r>
          </w:p>
        </w:tc>
        <w:tc>
          <w:tcPr>
            <w:tcW w:w="797" w:type="dxa"/>
          </w:tcPr>
          <w:p>
            <w:pPr>
              <w:pStyle w:val="0"/>
              <w:jc w:val="center"/>
            </w:pPr>
            <w:r>
              <w:rPr>
                <w:sz w:val="20"/>
              </w:rPr>
              <w:t xml:space="preserve">3,3</w:t>
            </w:r>
          </w:p>
        </w:tc>
      </w:tr>
      <w:tr>
        <w:tc>
          <w:tcPr>
            <w:tcW w:w="2778" w:type="dxa"/>
          </w:tcPr>
          <w:p>
            <w:pPr>
              <w:pStyle w:val="0"/>
            </w:pPr>
            <w:r>
              <w:rPr>
                <w:sz w:val="20"/>
              </w:rPr>
              <w:t xml:space="preserve">Деятельность в области культуры, спорта, организации досуга и пр.</w:t>
            </w:r>
          </w:p>
        </w:tc>
        <w:tc>
          <w:tcPr>
            <w:tcW w:w="624" w:type="dxa"/>
          </w:tcPr>
          <w:p>
            <w:pPr>
              <w:pStyle w:val="0"/>
              <w:jc w:val="center"/>
            </w:pPr>
            <w:r>
              <w:rPr>
                <w:sz w:val="20"/>
              </w:rPr>
              <w:t xml:space="preserve">1,5</w:t>
            </w:r>
          </w:p>
        </w:tc>
        <w:tc>
          <w:tcPr>
            <w:tcW w:w="680" w:type="dxa"/>
          </w:tcPr>
          <w:p>
            <w:pPr>
              <w:pStyle w:val="0"/>
              <w:jc w:val="center"/>
            </w:pPr>
            <w:r>
              <w:rPr>
                <w:sz w:val="20"/>
              </w:rPr>
              <w:t xml:space="preserve">4,4</w:t>
            </w:r>
          </w:p>
        </w:tc>
        <w:tc>
          <w:tcPr>
            <w:tcW w:w="737" w:type="dxa"/>
          </w:tcPr>
          <w:p>
            <w:pPr>
              <w:pStyle w:val="0"/>
              <w:jc w:val="center"/>
            </w:pPr>
            <w:r>
              <w:rPr>
                <w:sz w:val="20"/>
              </w:rPr>
              <w:t xml:space="preserve">2,2</w:t>
            </w:r>
          </w:p>
        </w:tc>
        <w:tc>
          <w:tcPr>
            <w:tcW w:w="624" w:type="dxa"/>
          </w:tcPr>
          <w:p>
            <w:pPr>
              <w:pStyle w:val="0"/>
              <w:jc w:val="center"/>
            </w:pPr>
            <w:r>
              <w:rPr>
                <w:sz w:val="20"/>
              </w:rPr>
              <w:t xml:space="preserve">0,5</w:t>
            </w:r>
          </w:p>
        </w:tc>
        <w:tc>
          <w:tcPr>
            <w:tcW w:w="737" w:type="dxa"/>
          </w:tcPr>
          <w:p>
            <w:pPr>
              <w:pStyle w:val="0"/>
              <w:jc w:val="center"/>
            </w:pPr>
            <w:r>
              <w:rPr>
                <w:sz w:val="20"/>
              </w:rPr>
              <w:t xml:space="preserve">0,9</w:t>
            </w:r>
          </w:p>
        </w:tc>
        <w:tc>
          <w:tcPr>
            <w:tcW w:w="624" w:type="dxa"/>
          </w:tcPr>
          <w:p>
            <w:pPr>
              <w:pStyle w:val="0"/>
              <w:jc w:val="center"/>
            </w:pPr>
            <w:r>
              <w:rPr>
                <w:sz w:val="20"/>
              </w:rPr>
              <w:t xml:space="preserve">0,1</w:t>
            </w:r>
          </w:p>
        </w:tc>
        <w:tc>
          <w:tcPr>
            <w:tcW w:w="794" w:type="dxa"/>
          </w:tcPr>
          <w:p>
            <w:pPr>
              <w:pStyle w:val="0"/>
              <w:jc w:val="center"/>
            </w:pPr>
            <w:r>
              <w:rPr>
                <w:sz w:val="20"/>
              </w:rPr>
              <w:t xml:space="preserve">0,2</w:t>
            </w:r>
          </w:p>
        </w:tc>
        <w:tc>
          <w:tcPr>
            <w:tcW w:w="624" w:type="dxa"/>
          </w:tcPr>
          <w:p>
            <w:pPr>
              <w:pStyle w:val="0"/>
              <w:jc w:val="center"/>
            </w:pPr>
            <w:r>
              <w:rPr>
                <w:sz w:val="20"/>
              </w:rPr>
              <w:t xml:space="preserve">0,2</w:t>
            </w:r>
          </w:p>
        </w:tc>
        <w:tc>
          <w:tcPr>
            <w:tcW w:w="797" w:type="dxa"/>
          </w:tcPr>
          <w:p>
            <w:pPr>
              <w:pStyle w:val="0"/>
              <w:jc w:val="center"/>
            </w:pPr>
            <w:r>
              <w:rPr>
                <w:sz w:val="20"/>
              </w:rPr>
              <w:t xml:space="preserve">1,0</w:t>
            </w:r>
          </w:p>
        </w:tc>
      </w:tr>
      <w:tr>
        <w:tc>
          <w:tcPr>
            <w:tcW w:w="2778" w:type="dxa"/>
          </w:tcPr>
          <w:p>
            <w:pPr>
              <w:pStyle w:val="0"/>
            </w:pPr>
            <w:r>
              <w:rPr>
                <w:sz w:val="20"/>
              </w:rPr>
              <w:t xml:space="preserve">Предоставление прочих видов услуг</w:t>
            </w:r>
          </w:p>
        </w:tc>
        <w:tc>
          <w:tcPr>
            <w:tcW w:w="624" w:type="dxa"/>
          </w:tcPr>
          <w:p>
            <w:pPr>
              <w:pStyle w:val="0"/>
              <w:jc w:val="center"/>
            </w:pPr>
            <w:r>
              <w:rPr>
                <w:sz w:val="20"/>
              </w:rPr>
              <w:t xml:space="preserve">1,9</w:t>
            </w:r>
          </w:p>
        </w:tc>
        <w:tc>
          <w:tcPr>
            <w:tcW w:w="680" w:type="dxa"/>
          </w:tcPr>
          <w:p>
            <w:pPr>
              <w:pStyle w:val="0"/>
              <w:jc w:val="center"/>
            </w:pPr>
            <w:r>
              <w:rPr>
                <w:sz w:val="20"/>
              </w:rPr>
              <w:t xml:space="preserve">2,4</w:t>
            </w:r>
          </w:p>
        </w:tc>
        <w:tc>
          <w:tcPr>
            <w:tcW w:w="737" w:type="dxa"/>
          </w:tcPr>
          <w:p>
            <w:pPr>
              <w:pStyle w:val="0"/>
              <w:jc w:val="center"/>
            </w:pPr>
            <w:r>
              <w:rPr>
                <w:sz w:val="20"/>
              </w:rPr>
              <w:t xml:space="preserve">4,3</w:t>
            </w:r>
          </w:p>
        </w:tc>
        <w:tc>
          <w:tcPr>
            <w:tcW w:w="624" w:type="dxa"/>
          </w:tcPr>
          <w:p>
            <w:pPr>
              <w:pStyle w:val="0"/>
              <w:jc w:val="center"/>
            </w:pPr>
            <w:r>
              <w:rPr>
                <w:sz w:val="20"/>
              </w:rPr>
              <w:t xml:space="preserve">0,2</w:t>
            </w:r>
          </w:p>
        </w:tc>
        <w:tc>
          <w:tcPr>
            <w:tcW w:w="737" w:type="dxa"/>
          </w:tcPr>
          <w:p>
            <w:pPr>
              <w:pStyle w:val="0"/>
              <w:jc w:val="center"/>
            </w:pPr>
            <w:r>
              <w:rPr>
                <w:sz w:val="20"/>
              </w:rPr>
              <w:t xml:space="preserve">7,3</w:t>
            </w:r>
          </w:p>
        </w:tc>
        <w:tc>
          <w:tcPr>
            <w:tcW w:w="624" w:type="dxa"/>
          </w:tcPr>
          <w:p>
            <w:pPr>
              <w:pStyle w:val="0"/>
              <w:jc w:val="center"/>
            </w:pPr>
            <w:r>
              <w:rPr>
                <w:sz w:val="20"/>
              </w:rPr>
              <w:t xml:space="preserve">0,0</w:t>
            </w:r>
          </w:p>
        </w:tc>
        <w:tc>
          <w:tcPr>
            <w:tcW w:w="794" w:type="dxa"/>
          </w:tcPr>
          <w:p>
            <w:pPr>
              <w:pStyle w:val="0"/>
              <w:jc w:val="center"/>
            </w:pPr>
            <w:r>
              <w:rPr>
                <w:sz w:val="20"/>
              </w:rPr>
              <w:t xml:space="preserve">1,3</w:t>
            </w:r>
          </w:p>
        </w:tc>
        <w:tc>
          <w:tcPr>
            <w:tcW w:w="624" w:type="dxa"/>
          </w:tcPr>
          <w:p>
            <w:pPr>
              <w:pStyle w:val="0"/>
              <w:jc w:val="center"/>
            </w:pPr>
            <w:r>
              <w:rPr>
                <w:sz w:val="20"/>
              </w:rPr>
              <w:t xml:space="preserve">1,6</w:t>
            </w:r>
          </w:p>
        </w:tc>
        <w:tc>
          <w:tcPr>
            <w:tcW w:w="797" w:type="dxa"/>
          </w:tcPr>
          <w:p>
            <w:pPr>
              <w:pStyle w:val="0"/>
              <w:jc w:val="center"/>
            </w:pPr>
            <w:r>
              <w:rPr>
                <w:sz w:val="20"/>
              </w:rPr>
              <w:t xml:space="preserve">2,9</w:t>
            </w:r>
          </w:p>
        </w:tc>
      </w:tr>
      <w:tr>
        <w:tc>
          <w:tcPr>
            <w:tcW w:w="2778" w:type="dxa"/>
          </w:tcPr>
          <w:p>
            <w:pPr>
              <w:pStyle w:val="0"/>
            </w:pPr>
            <w:r>
              <w:rPr>
                <w:sz w:val="20"/>
              </w:rPr>
              <w:t xml:space="preserve">Итого</w:t>
            </w:r>
          </w:p>
        </w:tc>
        <w:tc>
          <w:tcPr>
            <w:tcW w:w="624" w:type="dxa"/>
          </w:tcPr>
          <w:p>
            <w:pPr>
              <w:pStyle w:val="0"/>
              <w:jc w:val="center"/>
            </w:pPr>
            <w:r>
              <w:rPr>
                <w:sz w:val="20"/>
              </w:rPr>
              <w:t xml:space="preserve">76,5</w:t>
            </w:r>
          </w:p>
        </w:tc>
        <w:tc>
          <w:tcPr>
            <w:tcW w:w="680" w:type="dxa"/>
          </w:tcPr>
          <w:p>
            <w:pPr>
              <w:pStyle w:val="0"/>
              <w:jc w:val="center"/>
            </w:pPr>
            <w:r>
              <w:rPr>
                <w:sz w:val="20"/>
              </w:rPr>
              <w:t xml:space="preserve">146,1</w:t>
            </w:r>
          </w:p>
        </w:tc>
        <w:tc>
          <w:tcPr>
            <w:tcW w:w="737" w:type="dxa"/>
          </w:tcPr>
          <w:p>
            <w:pPr>
              <w:pStyle w:val="0"/>
              <w:jc w:val="center"/>
            </w:pPr>
            <w:r>
              <w:rPr>
                <w:sz w:val="20"/>
              </w:rPr>
              <w:t xml:space="preserve">87,6</w:t>
            </w:r>
          </w:p>
        </w:tc>
        <w:tc>
          <w:tcPr>
            <w:tcW w:w="624" w:type="dxa"/>
          </w:tcPr>
          <w:p>
            <w:pPr>
              <w:pStyle w:val="0"/>
              <w:jc w:val="center"/>
            </w:pPr>
            <w:r>
              <w:rPr>
                <w:sz w:val="20"/>
              </w:rPr>
              <w:t xml:space="preserve">41,5</w:t>
            </w:r>
          </w:p>
        </w:tc>
        <w:tc>
          <w:tcPr>
            <w:tcW w:w="737" w:type="dxa"/>
          </w:tcPr>
          <w:p>
            <w:pPr>
              <w:pStyle w:val="0"/>
              <w:jc w:val="center"/>
            </w:pPr>
            <w:r>
              <w:rPr>
                <w:sz w:val="20"/>
              </w:rPr>
              <w:t xml:space="preserve">99,9</w:t>
            </w:r>
          </w:p>
        </w:tc>
        <w:tc>
          <w:tcPr>
            <w:tcW w:w="624" w:type="dxa"/>
          </w:tcPr>
          <w:p>
            <w:pPr>
              <w:pStyle w:val="0"/>
              <w:jc w:val="center"/>
            </w:pPr>
            <w:r>
              <w:rPr>
                <w:sz w:val="20"/>
              </w:rPr>
              <w:t xml:space="preserve">7,9</w:t>
            </w:r>
          </w:p>
        </w:tc>
        <w:tc>
          <w:tcPr>
            <w:tcW w:w="794" w:type="dxa"/>
          </w:tcPr>
          <w:p>
            <w:pPr>
              <w:pStyle w:val="0"/>
              <w:jc w:val="center"/>
            </w:pPr>
            <w:r>
              <w:rPr>
                <w:sz w:val="20"/>
              </w:rPr>
              <w:t xml:space="preserve">115,3</w:t>
            </w:r>
          </w:p>
        </w:tc>
        <w:tc>
          <w:tcPr>
            <w:tcW w:w="624" w:type="dxa"/>
          </w:tcPr>
          <w:p>
            <w:pPr>
              <w:pStyle w:val="0"/>
              <w:jc w:val="center"/>
            </w:pPr>
            <w:r>
              <w:rPr>
                <w:sz w:val="20"/>
              </w:rPr>
              <w:t xml:space="preserve">94,5</w:t>
            </w:r>
          </w:p>
        </w:tc>
        <w:tc>
          <w:tcPr>
            <w:tcW w:w="797" w:type="dxa"/>
          </w:tcPr>
          <w:p>
            <w:pPr>
              <w:pStyle w:val="0"/>
              <w:jc w:val="center"/>
            </w:pPr>
            <w:r>
              <w:rPr>
                <w:sz w:val="20"/>
              </w:rPr>
              <w:t xml:space="preserve">66,4</w:t>
            </w:r>
          </w:p>
        </w:tc>
      </w:tr>
      <w:tr>
        <w:tc>
          <w:tcPr>
            <w:tcW w:w="2778" w:type="dxa"/>
          </w:tcPr>
          <w:p>
            <w:pPr>
              <w:pStyle w:val="0"/>
            </w:pPr>
            <w:r>
              <w:rPr>
                <w:sz w:val="20"/>
              </w:rPr>
              <w:t xml:space="preserve">&lt;*&gt; код укрупненной группы занятий в соответствии с Общероссийским классификатором занятий (ОК 010-2014 (МСКЗ-08). Общероссийский классификатор занятий" (принят и введен в действие </w:t>
            </w:r>
            <w:hyperlink w:history="0" r:id="rId111" w:tooltip="&quot;ОК 010-2014 (МСКЗ-08). Общероссийский классификатор занятий&quot; (принят и введен в действие Приказом Росстандарта от 12.12.2014 N 2020-ст) (ред. от 18.02.2021) {КонсультантПлюс}">
              <w:r>
                <w:rPr>
                  <w:sz w:val="20"/>
                  <w:color w:val="0000ff"/>
                </w:rPr>
                <w:t xml:space="preserve">Приказом</w:t>
              </w:r>
            </w:hyperlink>
            <w:r>
              <w:rPr>
                <w:sz w:val="20"/>
              </w:rPr>
              <w:t xml:space="preserve"> Росстандарта от 12.12.2014 N 2020-ст))</w:t>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797" w:type="dxa"/>
          </w:tcPr>
          <w:p>
            <w:pPr>
              <w:pStyle w:val="0"/>
            </w:pPr>
            <w:r>
              <w:rPr>
                <w:sz w:val="20"/>
              </w:rPr>
            </w:r>
          </w:p>
        </w:tc>
      </w:tr>
    </w:tbl>
    <w:p>
      <w:pPr>
        <w:pStyle w:val="0"/>
      </w:pPr>
      <w:r>
        <w:rPr>
          <w:sz w:val="20"/>
        </w:rPr>
      </w:r>
    </w:p>
    <w:p>
      <w:pPr>
        <w:pStyle w:val="2"/>
        <w:outlineLvl w:val="2"/>
        <w:jc w:val="center"/>
      </w:pPr>
      <w:r>
        <w:rPr>
          <w:sz w:val="20"/>
        </w:rPr>
        <w:t xml:space="preserve">Прогноз потребности отраслей экономики Тульской области</w:t>
      </w:r>
    </w:p>
    <w:p>
      <w:pPr>
        <w:pStyle w:val="2"/>
        <w:jc w:val="center"/>
      </w:pPr>
      <w:r>
        <w:rPr>
          <w:sz w:val="20"/>
        </w:rPr>
        <w:t xml:space="preserve">в специалистах различных профессионально-квалификационных</w:t>
      </w:r>
    </w:p>
    <w:p>
      <w:pPr>
        <w:pStyle w:val="2"/>
        <w:jc w:val="center"/>
      </w:pPr>
      <w:r>
        <w:rPr>
          <w:sz w:val="20"/>
        </w:rPr>
        <w:t xml:space="preserve">групп в 2031 году, тыс. человек</w:t>
      </w:r>
    </w:p>
    <w:p>
      <w:pPr>
        <w:pStyle w:val="0"/>
      </w:pPr>
      <w:r>
        <w:rPr>
          <w:sz w:val="20"/>
        </w:rPr>
      </w:r>
    </w:p>
    <w:p>
      <w:pPr>
        <w:pStyle w:val="0"/>
        <w:outlineLvl w:val="3"/>
        <w:jc w:val="right"/>
      </w:pPr>
      <w:r>
        <w:rPr>
          <w:sz w:val="20"/>
        </w:rPr>
        <w:t xml:space="preserve">Таблица 6</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624"/>
        <w:gridCol w:w="680"/>
        <w:gridCol w:w="737"/>
        <w:gridCol w:w="624"/>
        <w:gridCol w:w="737"/>
        <w:gridCol w:w="624"/>
        <w:gridCol w:w="794"/>
        <w:gridCol w:w="624"/>
        <w:gridCol w:w="797"/>
      </w:tblGrid>
      <w:tr>
        <w:tc>
          <w:tcPr>
            <w:tcW w:w="2778" w:type="dxa"/>
            <w:vMerge w:val="restart"/>
          </w:tcPr>
          <w:p>
            <w:pPr>
              <w:pStyle w:val="0"/>
              <w:jc w:val="center"/>
            </w:pPr>
            <w:r>
              <w:rPr>
                <w:sz w:val="20"/>
              </w:rPr>
              <w:t xml:space="preserve">Виды экономической деятельности</w:t>
            </w:r>
          </w:p>
        </w:tc>
        <w:tc>
          <w:tcPr>
            <w:gridSpan w:val="9"/>
            <w:tcW w:w="6241" w:type="dxa"/>
          </w:tcPr>
          <w:p>
            <w:pPr>
              <w:pStyle w:val="0"/>
              <w:jc w:val="center"/>
            </w:pPr>
            <w:r>
              <w:rPr>
                <w:sz w:val="20"/>
              </w:rPr>
              <w:t xml:space="preserve">Группы занятий &lt;*&gt;</w:t>
            </w:r>
          </w:p>
        </w:tc>
      </w:tr>
      <w:tr>
        <w:tc>
          <w:tcPr>
            <w:vMerge w:val="continue"/>
          </w:tcPr>
          <w:p/>
        </w:tc>
        <w:tc>
          <w:tcPr>
            <w:tcW w:w="624" w:type="dxa"/>
          </w:tcPr>
          <w:p>
            <w:pPr>
              <w:pStyle w:val="0"/>
              <w:jc w:val="center"/>
            </w:pPr>
            <w:r>
              <w:rPr>
                <w:sz w:val="20"/>
              </w:rPr>
              <w:t xml:space="preserve">1</w:t>
            </w:r>
          </w:p>
        </w:tc>
        <w:tc>
          <w:tcPr>
            <w:tcW w:w="680" w:type="dxa"/>
          </w:tcPr>
          <w:p>
            <w:pPr>
              <w:pStyle w:val="0"/>
              <w:jc w:val="center"/>
            </w:pPr>
            <w:r>
              <w:rPr>
                <w:sz w:val="20"/>
              </w:rPr>
              <w:t xml:space="preserve">2</w:t>
            </w:r>
          </w:p>
        </w:tc>
        <w:tc>
          <w:tcPr>
            <w:tcW w:w="737" w:type="dxa"/>
          </w:tcPr>
          <w:p>
            <w:pPr>
              <w:pStyle w:val="0"/>
              <w:jc w:val="center"/>
            </w:pPr>
            <w:r>
              <w:rPr>
                <w:sz w:val="20"/>
              </w:rPr>
              <w:t xml:space="preserve">3</w:t>
            </w:r>
          </w:p>
        </w:tc>
        <w:tc>
          <w:tcPr>
            <w:tcW w:w="624" w:type="dxa"/>
          </w:tcPr>
          <w:p>
            <w:pPr>
              <w:pStyle w:val="0"/>
              <w:jc w:val="center"/>
            </w:pPr>
            <w:r>
              <w:rPr>
                <w:sz w:val="20"/>
              </w:rPr>
              <w:t xml:space="preserve">4</w:t>
            </w:r>
          </w:p>
        </w:tc>
        <w:tc>
          <w:tcPr>
            <w:tcW w:w="737" w:type="dxa"/>
          </w:tcPr>
          <w:p>
            <w:pPr>
              <w:pStyle w:val="0"/>
              <w:jc w:val="center"/>
            </w:pPr>
            <w:r>
              <w:rPr>
                <w:sz w:val="20"/>
              </w:rPr>
              <w:t xml:space="preserve">5</w:t>
            </w:r>
          </w:p>
        </w:tc>
        <w:tc>
          <w:tcPr>
            <w:tcW w:w="624" w:type="dxa"/>
          </w:tcPr>
          <w:p>
            <w:pPr>
              <w:pStyle w:val="0"/>
              <w:jc w:val="center"/>
            </w:pPr>
            <w:r>
              <w:rPr>
                <w:sz w:val="20"/>
              </w:rPr>
              <w:t xml:space="preserve">6</w:t>
            </w:r>
          </w:p>
        </w:tc>
        <w:tc>
          <w:tcPr>
            <w:tcW w:w="794" w:type="dxa"/>
          </w:tcPr>
          <w:p>
            <w:pPr>
              <w:pStyle w:val="0"/>
              <w:jc w:val="center"/>
            </w:pPr>
            <w:r>
              <w:rPr>
                <w:sz w:val="20"/>
              </w:rPr>
              <w:t xml:space="preserve">7</w:t>
            </w:r>
          </w:p>
        </w:tc>
        <w:tc>
          <w:tcPr>
            <w:tcW w:w="624" w:type="dxa"/>
          </w:tcPr>
          <w:p>
            <w:pPr>
              <w:pStyle w:val="0"/>
              <w:jc w:val="center"/>
            </w:pPr>
            <w:r>
              <w:rPr>
                <w:sz w:val="20"/>
              </w:rPr>
              <w:t xml:space="preserve">8</w:t>
            </w:r>
          </w:p>
        </w:tc>
        <w:tc>
          <w:tcPr>
            <w:tcW w:w="797" w:type="dxa"/>
          </w:tcPr>
          <w:p>
            <w:pPr>
              <w:pStyle w:val="0"/>
              <w:jc w:val="center"/>
            </w:pPr>
            <w:r>
              <w:rPr>
                <w:sz w:val="20"/>
              </w:rPr>
              <w:t xml:space="preserve">9</w:t>
            </w:r>
          </w:p>
        </w:tc>
      </w:tr>
      <w:tr>
        <w:tc>
          <w:tcPr>
            <w:tcW w:w="2778" w:type="dxa"/>
          </w:tcPr>
          <w:p>
            <w:pPr>
              <w:pStyle w:val="0"/>
            </w:pPr>
            <w:r>
              <w:rPr>
                <w:sz w:val="20"/>
              </w:rPr>
              <w:t xml:space="preserve">Сельское, лесное хозяйство, охота, рыболовство и рыбоводство</w:t>
            </w:r>
          </w:p>
        </w:tc>
        <w:tc>
          <w:tcPr>
            <w:tcW w:w="624" w:type="dxa"/>
          </w:tcPr>
          <w:p>
            <w:pPr>
              <w:pStyle w:val="0"/>
              <w:jc w:val="center"/>
            </w:pPr>
            <w:r>
              <w:rPr>
                <w:sz w:val="20"/>
              </w:rPr>
              <w:t xml:space="preserve">2,8</w:t>
            </w:r>
          </w:p>
        </w:tc>
        <w:tc>
          <w:tcPr>
            <w:tcW w:w="680" w:type="dxa"/>
          </w:tcPr>
          <w:p>
            <w:pPr>
              <w:pStyle w:val="0"/>
              <w:jc w:val="center"/>
            </w:pPr>
            <w:r>
              <w:rPr>
                <w:sz w:val="20"/>
              </w:rPr>
              <w:t xml:space="preserve">4,4</w:t>
            </w:r>
          </w:p>
        </w:tc>
        <w:tc>
          <w:tcPr>
            <w:tcW w:w="737" w:type="dxa"/>
          </w:tcPr>
          <w:p>
            <w:pPr>
              <w:pStyle w:val="0"/>
              <w:jc w:val="center"/>
            </w:pPr>
            <w:r>
              <w:rPr>
                <w:sz w:val="20"/>
              </w:rPr>
              <w:t xml:space="preserve">2,1</w:t>
            </w:r>
          </w:p>
        </w:tc>
        <w:tc>
          <w:tcPr>
            <w:tcW w:w="624" w:type="dxa"/>
          </w:tcPr>
          <w:p>
            <w:pPr>
              <w:pStyle w:val="0"/>
              <w:jc w:val="center"/>
            </w:pPr>
            <w:r>
              <w:rPr>
                <w:sz w:val="20"/>
              </w:rPr>
              <w:t xml:space="preserve">1,6</w:t>
            </w:r>
          </w:p>
        </w:tc>
        <w:tc>
          <w:tcPr>
            <w:tcW w:w="737" w:type="dxa"/>
          </w:tcPr>
          <w:p>
            <w:pPr>
              <w:pStyle w:val="0"/>
              <w:jc w:val="center"/>
            </w:pPr>
            <w:r>
              <w:rPr>
                <w:sz w:val="20"/>
              </w:rPr>
              <w:t xml:space="preserve">2,1</w:t>
            </w:r>
          </w:p>
        </w:tc>
        <w:tc>
          <w:tcPr>
            <w:tcW w:w="624" w:type="dxa"/>
          </w:tcPr>
          <w:p>
            <w:pPr>
              <w:pStyle w:val="0"/>
              <w:jc w:val="center"/>
            </w:pPr>
            <w:r>
              <w:rPr>
                <w:sz w:val="20"/>
              </w:rPr>
              <w:t xml:space="preserve">7,4</w:t>
            </w:r>
          </w:p>
        </w:tc>
        <w:tc>
          <w:tcPr>
            <w:tcW w:w="794" w:type="dxa"/>
          </w:tcPr>
          <w:p>
            <w:pPr>
              <w:pStyle w:val="0"/>
              <w:jc w:val="center"/>
            </w:pPr>
            <w:r>
              <w:rPr>
                <w:sz w:val="20"/>
              </w:rPr>
              <w:t xml:space="preserve">3,6</w:t>
            </w:r>
          </w:p>
        </w:tc>
        <w:tc>
          <w:tcPr>
            <w:tcW w:w="624" w:type="dxa"/>
          </w:tcPr>
          <w:p>
            <w:pPr>
              <w:pStyle w:val="0"/>
              <w:jc w:val="center"/>
            </w:pPr>
            <w:r>
              <w:rPr>
                <w:sz w:val="20"/>
              </w:rPr>
              <w:t xml:space="preserve">10,0</w:t>
            </w:r>
          </w:p>
        </w:tc>
        <w:tc>
          <w:tcPr>
            <w:tcW w:w="797" w:type="dxa"/>
          </w:tcPr>
          <w:p>
            <w:pPr>
              <w:pStyle w:val="0"/>
              <w:jc w:val="center"/>
            </w:pPr>
            <w:r>
              <w:rPr>
                <w:sz w:val="20"/>
              </w:rPr>
              <w:t xml:space="preserve">7,1</w:t>
            </w:r>
          </w:p>
        </w:tc>
      </w:tr>
      <w:tr>
        <w:tc>
          <w:tcPr>
            <w:tcW w:w="2778" w:type="dxa"/>
          </w:tcPr>
          <w:p>
            <w:pPr>
              <w:pStyle w:val="0"/>
            </w:pPr>
            <w:r>
              <w:rPr>
                <w:sz w:val="20"/>
              </w:rPr>
              <w:t xml:space="preserve">Добыча полезных ископаемых</w:t>
            </w:r>
          </w:p>
        </w:tc>
        <w:tc>
          <w:tcPr>
            <w:tcW w:w="624" w:type="dxa"/>
          </w:tcPr>
          <w:p>
            <w:pPr>
              <w:pStyle w:val="0"/>
              <w:jc w:val="center"/>
            </w:pPr>
            <w:r>
              <w:rPr>
                <w:sz w:val="20"/>
              </w:rPr>
              <w:t xml:space="preserve">0,2</w:t>
            </w:r>
          </w:p>
        </w:tc>
        <w:tc>
          <w:tcPr>
            <w:tcW w:w="680" w:type="dxa"/>
          </w:tcPr>
          <w:p>
            <w:pPr>
              <w:pStyle w:val="0"/>
              <w:jc w:val="center"/>
            </w:pPr>
            <w:r>
              <w:rPr>
                <w:sz w:val="20"/>
              </w:rPr>
              <w:t xml:space="preserve">0,2</w:t>
            </w:r>
          </w:p>
        </w:tc>
        <w:tc>
          <w:tcPr>
            <w:tcW w:w="737" w:type="dxa"/>
          </w:tcPr>
          <w:p>
            <w:pPr>
              <w:pStyle w:val="0"/>
              <w:jc w:val="center"/>
            </w:pPr>
            <w:r>
              <w:rPr>
                <w:sz w:val="20"/>
              </w:rPr>
              <w:t xml:space="preserve">0,1</w:t>
            </w:r>
          </w:p>
        </w:tc>
        <w:tc>
          <w:tcPr>
            <w:tcW w:w="624" w:type="dxa"/>
          </w:tcPr>
          <w:p>
            <w:pPr>
              <w:pStyle w:val="0"/>
              <w:jc w:val="center"/>
            </w:pPr>
            <w:r>
              <w:rPr>
                <w:sz w:val="20"/>
              </w:rPr>
              <w:t xml:space="preserve">0,1</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1,1</w:t>
            </w:r>
          </w:p>
        </w:tc>
        <w:tc>
          <w:tcPr>
            <w:tcW w:w="797" w:type="dxa"/>
          </w:tcPr>
          <w:p>
            <w:pPr>
              <w:pStyle w:val="0"/>
              <w:jc w:val="center"/>
            </w:pPr>
            <w:r>
              <w:rPr>
                <w:sz w:val="20"/>
              </w:rPr>
              <w:t xml:space="preserve">0,1</w:t>
            </w:r>
          </w:p>
        </w:tc>
      </w:tr>
      <w:tr>
        <w:tc>
          <w:tcPr>
            <w:tcW w:w="2778" w:type="dxa"/>
          </w:tcPr>
          <w:p>
            <w:pPr>
              <w:pStyle w:val="0"/>
            </w:pPr>
            <w:r>
              <w:rPr>
                <w:sz w:val="20"/>
              </w:rPr>
              <w:t xml:space="preserve">Обрабатывающие производства</w:t>
            </w:r>
          </w:p>
        </w:tc>
        <w:tc>
          <w:tcPr>
            <w:tcW w:w="624" w:type="dxa"/>
          </w:tcPr>
          <w:p>
            <w:pPr>
              <w:pStyle w:val="0"/>
              <w:jc w:val="center"/>
            </w:pPr>
            <w:r>
              <w:rPr>
                <w:sz w:val="20"/>
              </w:rPr>
              <w:t xml:space="preserve">15,0</w:t>
            </w:r>
          </w:p>
        </w:tc>
        <w:tc>
          <w:tcPr>
            <w:tcW w:w="680" w:type="dxa"/>
          </w:tcPr>
          <w:p>
            <w:pPr>
              <w:pStyle w:val="0"/>
              <w:jc w:val="center"/>
            </w:pPr>
            <w:r>
              <w:rPr>
                <w:sz w:val="20"/>
              </w:rPr>
              <w:t xml:space="preserve">24,1</w:t>
            </w:r>
          </w:p>
        </w:tc>
        <w:tc>
          <w:tcPr>
            <w:tcW w:w="737" w:type="dxa"/>
          </w:tcPr>
          <w:p>
            <w:pPr>
              <w:pStyle w:val="0"/>
              <w:jc w:val="center"/>
            </w:pPr>
            <w:r>
              <w:rPr>
                <w:sz w:val="20"/>
              </w:rPr>
              <w:t xml:space="preserve">13,8</w:t>
            </w:r>
          </w:p>
        </w:tc>
        <w:tc>
          <w:tcPr>
            <w:tcW w:w="624" w:type="dxa"/>
          </w:tcPr>
          <w:p>
            <w:pPr>
              <w:pStyle w:val="0"/>
              <w:jc w:val="center"/>
            </w:pPr>
            <w:r>
              <w:rPr>
                <w:sz w:val="20"/>
              </w:rPr>
              <w:t xml:space="preserve">6,8</w:t>
            </w:r>
          </w:p>
        </w:tc>
        <w:tc>
          <w:tcPr>
            <w:tcW w:w="737" w:type="dxa"/>
          </w:tcPr>
          <w:p>
            <w:pPr>
              <w:pStyle w:val="0"/>
              <w:jc w:val="center"/>
            </w:pPr>
            <w:r>
              <w:rPr>
                <w:sz w:val="20"/>
              </w:rPr>
              <w:t xml:space="preserve">3,6</w:t>
            </w:r>
          </w:p>
        </w:tc>
        <w:tc>
          <w:tcPr>
            <w:tcW w:w="624" w:type="dxa"/>
          </w:tcPr>
          <w:p>
            <w:pPr>
              <w:pStyle w:val="0"/>
              <w:jc w:val="center"/>
            </w:pPr>
            <w:r>
              <w:rPr>
                <w:sz w:val="20"/>
              </w:rPr>
              <w:t xml:space="preserve">0,2</w:t>
            </w:r>
          </w:p>
        </w:tc>
        <w:tc>
          <w:tcPr>
            <w:tcW w:w="794" w:type="dxa"/>
          </w:tcPr>
          <w:p>
            <w:pPr>
              <w:pStyle w:val="0"/>
              <w:jc w:val="center"/>
            </w:pPr>
            <w:r>
              <w:rPr>
                <w:sz w:val="20"/>
              </w:rPr>
              <w:t xml:space="preserve">54,3</w:t>
            </w:r>
          </w:p>
        </w:tc>
        <w:tc>
          <w:tcPr>
            <w:tcW w:w="624" w:type="dxa"/>
          </w:tcPr>
          <w:p>
            <w:pPr>
              <w:pStyle w:val="0"/>
              <w:jc w:val="center"/>
            </w:pPr>
            <w:r>
              <w:rPr>
                <w:sz w:val="20"/>
              </w:rPr>
              <w:t xml:space="preserve">33,2</w:t>
            </w:r>
          </w:p>
        </w:tc>
        <w:tc>
          <w:tcPr>
            <w:tcW w:w="797" w:type="dxa"/>
          </w:tcPr>
          <w:p>
            <w:pPr>
              <w:pStyle w:val="0"/>
              <w:jc w:val="center"/>
            </w:pPr>
            <w:r>
              <w:rPr>
                <w:sz w:val="20"/>
              </w:rPr>
              <w:t xml:space="preserve">14,7</w:t>
            </w:r>
          </w:p>
        </w:tc>
      </w:tr>
      <w:tr>
        <w:tc>
          <w:tcPr>
            <w:tcW w:w="2778" w:type="dxa"/>
          </w:tcPr>
          <w:p>
            <w:pPr>
              <w:pStyle w:val="0"/>
            </w:pPr>
            <w:r>
              <w:rPr>
                <w:sz w:val="20"/>
              </w:rPr>
              <w:t xml:space="preserve">Обеспечение электроэнергией, газом и паром; кондиционирование воздуха</w:t>
            </w:r>
          </w:p>
        </w:tc>
        <w:tc>
          <w:tcPr>
            <w:tcW w:w="624" w:type="dxa"/>
          </w:tcPr>
          <w:p>
            <w:pPr>
              <w:pStyle w:val="0"/>
              <w:jc w:val="center"/>
            </w:pPr>
            <w:r>
              <w:rPr>
                <w:sz w:val="20"/>
              </w:rPr>
              <w:t xml:space="preserve">1,4</w:t>
            </w:r>
          </w:p>
        </w:tc>
        <w:tc>
          <w:tcPr>
            <w:tcW w:w="680" w:type="dxa"/>
          </w:tcPr>
          <w:p>
            <w:pPr>
              <w:pStyle w:val="0"/>
              <w:jc w:val="center"/>
            </w:pPr>
            <w:r>
              <w:rPr>
                <w:sz w:val="20"/>
              </w:rPr>
              <w:t xml:space="preserve">3,1</w:t>
            </w:r>
          </w:p>
        </w:tc>
        <w:tc>
          <w:tcPr>
            <w:tcW w:w="737" w:type="dxa"/>
          </w:tcPr>
          <w:p>
            <w:pPr>
              <w:pStyle w:val="0"/>
              <w:jc w:val="center"/>
            </w:pPr>
            <w:r>
              <w:rPr>
                <w:sz w:val="20"/>
              </w:rPr>
              <w:t xml:space="preserve">2,0</w:t>
            </w:r>
          </w:p>
        </w:tc>
        <w:tc>
          <w:tcPr>
            <w:tcW w:w="624" w:type="dxa"/>
          </w:tcPr>
          <w:p>
            <w:pPr>
              <w:pStyle w:val="0"/>
              <w:jc w:val="center"/>
            </w:pPr>
            <w:r>
              <w:rPr>
                <w:sz w:val="20"/>
              </w:rPr>
              <w:t xml:space="preserve">0,6</w:t>
            </w:r>
          </w:p>
        </w:tc>
        <w:tc>
          <w:tcPr>
            <w:tcW w:w="737" w:type="dxa"/>
          </w:tcPr>
          <w:p>
            <w:pPr>
              <w:pStyle w:val="0"/>
              <w:jc w:val="center"/>
            </w:pPr>
            <w:r>
              <w:rPr>
                <w:sz w:val="20"/>
              </w:rPr>
              <w:t xml:space="preserve">0,2</w:t>
            </w:r>
          </w:p>
        </w:tc>
        <w:tc>
          <w:tcPr>
            <w:tcW w:w="624" w:type="dxa"/>
          </w:tcPr>
          <w:p>
            <w:pPr>
              <w:pStyle w:val="0"/>
              <w:jc w:val="center"/>
            </w:pPr>
            <w:r>
              <w:rPr>
                <w:sz w:val="20"/>
              </w:rPr>
              <w:t xml:space="preserve">0,0</w:t>
            </w:r>
          </w:p>
        </w:tc>
        <w:tc>
          <w:tcPr>
            <w:tcW w:w="794" w:type="dxa"/>
          </w:tcPr>
          <w:p>
            <w:pPr>
              <w:pStyle w:val="0"/>
              <w:jc w:val="center"/>
            </w:pPr>
            <w:r>
              <w:rPr>
                <w:sz w:val="20"/>
              </w:rPr>
              <w:t xml:space="preserve">6,0</w:t>
            </w:r>
          </w:p>
        </w:tc>
        <w:tc>
          <w:tcPr>
            <w:tcW w:w="624" w:type="dxa"/>
          </w:tcPr>
          <w:p>
            <w:pPr>
              <w:pStyle w:val="0"/>
              <w:jc w:val="center"/>
            </w:pPr>
            <w:r>
              <w:rPr>
                <w:sz w:val="20"/>
              </w:rPr>
              <w:t xml:space="preserve">4,0</w:t>
            </w:r>
          </w:p>
        </w:tc>
        <w:tc>
          <w:tcPr>
            <w:tcW w:w="797" w:type="dxa"/>
          </w:tcPr>
          <w:p>
            <w:pPr>
              <w:pStyle w:val="0"/>
              <w:jc w:val="center"/>
            </w:pPr>
            <w:r>
              <w:rPr>
                <w:sz w:val="20"/>
              </w:rPr>
              <w:t xml:space="preserve">0,4</w:t>
            </w:r>
          </w:p>
        </w:tc>
      </w:tr>
      <w:tr>
        <w:tc>
          <w:tcPr>
            <w:tcW w:w="2778" w:type="dxa"/>
          </w:tcPr>
          <w:p>
            <w:pPr>
              <w:pStyle w:val="0"/>
            </w:pPr>
            <w:r>
              <w:rPr>
                <w:sz w:val="20"/>
              </w:rPr>
              <w:t xml:space="preserve">Водоснабжение; водоотведение, организация сбора и утилизации отходов, деятельность по ликвидации загрязнений</w:t>
            </w:r>
          </w:p>
        </w:tc>
        <w:tc>
          <w:tcPr>
            <w:tcW w:w="624" w:type="dxa"/>
          </w:tcPr>
          <w:p>
            <w:pPr>
              <w:pStyle w:val="0"/>
              <w:jc w:val="center"/>
            </w:pPr>
            <w:r>
              <w:rPr>
                <w:sz w:val="20"/>
              </w:rPr>
              <w:t xml:space="preserve">0,7</w:t>
            </w:r>
          </w:p>
        </w:tc>
        <w:tc>
          <w:tcPr>
            <w:tcW w:w="680" w:type="dxa"/>
          </w:tcPr>
          <w:p>
            <w:pPr>
              <w:pStyle w:val="0"/>
              <w:jc w:val="center"/>
            </w:pPr>
            <w:r>
              <w:rPr>
                <w:sz w:val="20"/>
              </w:rPr>
              <w:t xml:space="preserve">0,9</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0,0</w:t>
            </w:r>
          </w:p>
        </w:tc>
        <w:tc>
          <w:tcPr>
            <w:tcW w:w="624" w:type="dxa"/>
          </w:tcPr>
          <w:p>
            <w:pPr>
              <w:pStyle w:val="0"/>
              <w:jc w:val="center"/>
            </w:pPr>
            <w:r>
              <w:rPr>
                <w:sz w:val="20"/>
              </w:rPr>
              <w:t xml:space="preserve">0,0</w:t>
            </w:r>
          </w:p>
        </w:tc>
        <w:tc>
          <w:tcPr>
            <w:tcW w:w="794" w:type="dxa"/>
          </w:tcPr>
          <w:p>
            <w:pPr>
              <w:pStyle w:val="0"/>
              <w:jc w:val="center"/>
            </w:pPr>
            <w:r>
              <w:rPr>
                <w:sz w:val="20"/>
              </w:rPr>
              <w:t xml:space="preserve">2,0</w:t>
            </w:r>
          </w:p>
        </w:tc>
        <w:tc>
          <w:tcPr>
            <w:tcW w:w="624" w:type="dxa"/>
          </w:tcPr>
          <w:p>
            <w:pPr>
              <w:pStyle w:val="0"/>
              <w:jc w:val="center"/>
            </w:pPr>
            <w:r>
              <w:rPr>
                <w:sz w:val="20"/>
              </w:rPr>
              <w:t xml:space="preserve">1,9</w:t>
            </w:r>
          </w:p>
        </w:tc>
        <w:tc>
          <w:tcPr>
            <w:tcW w:w="797" w:type="dxa"/>
          </w:tcPr>
          <w:p>
            <w:pPr>
              <w:pStyle w:val="0"/>
              <w:jc w:val="center"/>
            </w:pPr>
            <w:r>
              <w:rPr>
                <w:sz w:val="20"/>
              </w:rPr>
              <w:t xml:space="preserve">0,4</w:t>
            </w:r>
          </w:p>
        </w:tc>
      </w:tr>
      <w:tr>
        <w:tc>
          <w:tcPr>
            <w:tcW w:w="2778" w:type="dxa"/>
          </w:tcPr>
          <w:p>
            <w:pPr>
              <w:pStyle w:val="0"/>
            </w:pPr>
            <w:r>
              <w:rPr>
                <w:sz w:val="20"/>
              </w:rPr>
              <w:t xml:space="preserve">Строительство</w:t>
            </w:r>
          </w:p>
        </w:tc>
        <w:tc>
          <w:tcPr>
            <w:tcW w:w="624" w:type="dxa"/>
          </w:tcPr>
          <w:p>
            <w:pPr>
              <w:pStyle w:val="0"/>
              <w:jc w:val="center"/>
            </w:pPr>
            <w:r>
              <w:rPr>
                <w:sz w:val="20"/>
              </w:rPr>
              <w:t xml:space="preserve">8,8</w:t>
            </w:r>
          </w:p>
        </w:tc>
        <w:tc>
          <w:tcPr>
            <w:tcW w:w="680" w:type="dxa"/>
          </w:tcPr>
          <w:p>
            <w:pPr>
              <w:pStyle w:val="0"/>
              <w:jc w:val="center"/>
            </w:pPr>
            <w:r>
              <w:rPr>
                <w:sz w:val="20"/>
              </w:rPr>
              <w:t xml:space="preserve">11,1</w:t>
            </w:r>
          </w:p>
        </w:tc>
        <w:tc>
          <w:tcPr>
            <w:tcW w:w="737" w:type="dxa"/>
          </w:tcPr>
          <w:p>
            <w:pPr>
              <w:pStyle w:val="0"/>
              <w:jc w:val="center"/>
            </w:pPr>
            <w:r>
              <w:rPr>
                <w:sz w:val="20"/>
              </w:rPr>
              <w:t xml:space="preserve">5,5</w:t>
            </w:r>
          </w:p>
        </w:tc>
        <w:tc>
          <w:tcPr>
            <w:tcW w:w="624" w:type="dxa"/>
          </w:tcPr>
          <w:p>
            <w:pPr>
              <w:pStyle w:val="0"/>
              <w:jc w:val="center"/>
            </w:pPr>
            <w:r>
              <w:rPr>
                <w:sz w:val="20"/>
              </w:rPr>
              <w:t xml:space="preserve">1,2</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20,2</w:t>
            </w:r>
          </w:p>
        </w:tc>
        <w:tc>
          <w:tcPr>
            <w:tcW w:w="624" w:type="dxa"/>
          </w:tcPr>
          <w:p>
            <w:pPr>
              <w:pStyle w:val="0"/>
              <w:jc w:val="center"/>
            </w:pPr>
            <w:r>
              <w:rPr>
                <w:sz w:val="20"/>
              </w:rPr>
              <w:t xml:space="preserve">10,2</w:t>
            </w:r>
          </w:p>
        </w:tc>
        <w:tc>
          <w:tcPr>
            <w:tcW w:w="797" w:type="dxa"/>
          </w:tcPr>
          <w:p>
            <w:pPr>
              <w:pStyle w:val="0"/>
              <w:jc w:val="center"/>
            </w:pPr>
            <w:r>
              <w:rPr>
                <w:sz w:val="20"/>
              </w:rPr>
              <w:t xml:space="preserve">4,6</w:t>
            </w:r>
          </w:p>
        </w:tc>
      </w:tr>
      <w:tr>
        <w:tc>
          <w:tcPr>
            <w:tcW w:w="2778" w:type="dxa"/>
          </w:tcPr>
          <w:p>
            <w:pPr>
              <w:pStyle w:val="0"/>
            </w:pPr>
            <w:r>
              <w:rPr>
                <w:sz w:val="20"/>
              </w:rPr>
              <w:t xml:space="preserve">Торговля оптовая и розничная; ремонт автотранспортных средств и мотоциклов</w:t>
            </w:r>
          </w:p>
        </w:tc>
        <w:tc>
          <w:tcPr>
            <w:tcW w:w="624" w:type="dxa"/>
          </w:tcPr>
          <w:p>
            <w:pPr>
              <w:pStyle w:val="0"/>
              <w:jc w:val="center"/>
            </w:pPr>
            <w:r>
              <w:rPr>
                <w:sz w:val="20"/>
              </w:rPr>
              <w:t xml:space="preserve">17,0</w:t>
            </w:r>
          </w:p>
        </w:tc>
        <w:tc>
          <w:tcPr>
            <w:tcW w:w="680" w:type="dxa"/>
          </w:tcPr>
          <w:p>
            <w:pPr>
              <w:pStyle w:val="0"/>
              <w:jc w:val="center"/>
            </w:pPr>
            <w:r>
              <w:rPr>
                <w:sz w:val="20"/>
              </w:rPr>
              <w:t xml:space="preserve">12,5</w:t>
            </w:r>
          </w:p>
        </w:tc>
        <w:tc>
          <w:tcPr>
            <w:tcW w:w="737" w:type="dxa"/>
          </w:tcPr>
          <w:p>
            <w:pPr>
              <w:pStyle w:val="0"/>
              <w:jc w:val="center"/>
            </w:pPr>
            <w:r>
              <w:rPr>
                <w:sz w:val="20"/>
              </w:rPr>
              <w:t xml:space="preserve">15,3</w:t>
            </w:r>
          </w:p>
        </w:tc>
        <w:tc>
          <w:tcPr>
            <w:tcW w:w="624" w:type="dxa"/>
          </w:tcPr>
          <w:p>
            <w:pPr>
              <w:pStyle w:val="0"/>
              <w:jc w:val="center"/>
            </w:pPr>
            <w:r>
              <w:rPr>
                <w:sz w:val="20"/>
              </w:rPr>
              <w:t xml:space="preserve">3,3</w:t>
            </w:r>
          </w:p>
        </w:tc>
        <w:tc>
          <w:tcPr>
            <w:tcW w:w="737" w:type="dxa"/>
          </w:tcPr>
          <w:p>
            <w:pPr>
              <w:pStyle w:val="0"/>
              <w:jc w:val="center"/>
            </w:pPr>
            <w:r>
              <w:rPr>
                <w:sz w:val="20"/>
              </w:rPr>
              <w:t xml:space="preserve">44,0</w:t>
            </w:r>
          </w:p>
        </w:tc>
        <w:tc>
          <w:tcPr>
            <w:tcW w:w="624" w:type="dxa"/>
          </w:tcPr>
          <w:p>
            <w:pPr>
              <w:pStyle w:val="0"/>
              <w:jc w:val="center"/>
            </w:pPr>
            <w:r>
              <w:rPr>
                <w:sz w:val="20"/>
              </w:rPr>
              <w:t xml:space="preserve">0,1</w:t>
            </w:r>
          </w:p>
        </w:tc>
        <w:tc>
          <w:tcPr>
            <w:tcW w:w="794" w:type="dxa"/>
          </w:tcPr>
          <w:p>
            <w:pPr>
              <w:pStyle w:val="0"/>
              <w:jc w:val="center"/>
            </w:pPr>
            <w:r>
              <w:rPr>
                <w:sz w:val="20"/>
              </w:rPr>
              <w:t xml:space="preserve">10,1</w:t>
            </w:r>
          </w:p>
        </w:tc>
        <w:tc>
          <w:tcPr>
            <w:tcW w:w="624" w:type="dxa"/>
          </w:tcPr>
          <w:p>
            <w:pPr>
              <w:pStyle w:val="0"/>
              <w:jc w:val="center"/>
            </w:pPr>
            <w:r>
              <w:rPr>
                <w:sz w:val="20"/>
              </w:rPr>
              <w:t xml:space="preserve">7,0</w:t>
            </w:r>
          </w:p>
        </w:tc>
        <w:tc>
          <w:tcPr>
            <w:tcW w:w="797" w:type="dxa"/>
          </w:tcPr>
          <w:p>
            <w:pPr>
              <w:pStyle w:val="0"/>
              <w:jc w:val="center"/>
            </w:pPr>
            <w:r>
              <w:rPr>
                <w:sz w:val="20"/>
              </w:rPr>
              <w:t xml:space="preserve">10,6</w:t>
            </w:r>
          </w:p>
        </w:tc>
      </w:tr>
      <w:tr>
        <w:tc>
          <w:tcPr>
            <w:tcW w:w="2778" w:type="dxa"/>
          </w:tcPr>
          <w:p>
            <w:pPr>
              <w:pStyle w:val="0"/>
            </w:pPr>
            <w:r>
              <w:rPr>
                <w:sz w:val="20"/>
              </w:rPr>
              <w:t xml:space="preserve">Транспортировка и хранение</w:t>
            </w:r>
          </w:p>
        </w:tc>
        <w:tc>
          <w:tcPr>
            <w:tcW w:w="624" w:type="dxa"/>
          </w:tcPr>
          <w:p>
            <w:pPr>
              <w:pStyle w:val="0"/>
              <w:jc w:val="center"/>
            </w:pPr>
            <w:r>
              <w:rPr>
                <w:sz w:val="20"/>
              </w:rPr>
              <w:t xml:space="preserve">2,7</w:t>
            </w:r>
          </w:p>
        </w:tc>
        <w:tc>
          <w:tcPr>
            <w:tcW w:w="680" w:type="dxa"/>
          </w:tcPr>
          <w:p>
            <w:pPr>
              <w:pStyle w:val="0"/>
              <w:jc w:val="center"/>
            </w:pPr>
            <w:r>
              <w:rPr>
                <w:sz w:val="20"/>
              </w:rPr>
              <w:t xml:space="preserve">2,8</w:t>
            </w:r>
          </w:p>
        </w:tc>
        <w:tc>
          <w:tcPr>
            <w:tcW w:w="737" w:type="dxa"/>
          </w:tcPr>
          <w:p>
            <w:pPr>
              <w:pStyle w:val="0"/>
              <w:jc w:val="center"/>
            </w:pPr>
            <w:r>
              <w:rPr>
                <w:sz w:val="20"/>
              </w:rPr>
              <w:t xml:space="preserve">2,7</w:t>
            </w:r>
          </w:p>
        </w:tc>
        <w:tc>
          <w:tcPr>
            <w:tcW w:w="624" w:type="dxa"/>
          </w:tcPr>
          <w:p>
            <w:pPr>
              <w:pStyle w:val="0"/>
              <w:jc w:val="center"/>
            </w:pPr>
            <w:r>
              <w:rPr>
                <w:sz w:val="20"/>
              </w:rPr>
              <w:t xml:space="preserve">19,0</w:t>
            </w:r>
          </w:p>
        </w:tc>
        <w:tc>
          <w:tcPr>
            <w:tcW w:w="737" w:type="dxa"/>
          </w:tcPr>
          <w:p>
            <w:pPr>
              <w:pStyle w:val="0"/>
              <w:jc w:val="center"/>
            </w:pPr>
            <w:r>
              <w:rPr>
                <w:sz w:val="20"/>
              </w:rPr>
              <w:t xml:space="preserve">4,3</w:t>
            </w:r>
          </w:p>
        </w:tc>
        <w:tc>
          <w:tcPr>
            <w:tcW w:w="624" w:type="dxa"/>
          </w:tcPr>
          <w:p>
            <w:pPr>
              <w:pStyle w:val="0"/>
              <w:jc w:val="center"/>
            </w:pPr>
            <w:r>
              <w:rPr>
                <w:sz w:val="20"/>
              </w:rPr>
              <w:t xml:space="preserve">0,0</w:t>
            </w:r>
          </w:p>
        </w:tc>
        <w:tc>
          <w:tcPr>
            <w:tcW w:w="794" w:type="dxa"/>
          </w:tcPr>
          <w:p>
            <w:pPr>
              <w:pStyle w:val="0"/>
              <w:jc w:val="center"/>
            </w:pPr>
            <w:r>
              <w:rPr>
                <w:sz w:val="20"/>
              </w:rPr>
              <w:t xml:space="preserve">6,7</w:t>
            </w:r>
          </w:p>
        </w:tc>
        <w:tc>
          <w:tcPr>
            <w:tcW w:w="624" w:type="dxa"/>
          </w:tcPr>
          <w:p>
            <w:pPr>
              <w:pStyle w:val="0"/>
              <w:jc w:val="center"/>
            </w:pPr>
            <w:r>
              <w:rPr>
                <w:sz w:val="20"/>
              </w:rPr>
              <w:t xml:space="preserve">17,7</w:t>
            </w:r>
          </w:p>
        </w:tc>
        <w:tc>
          <w:tcPr>
            <w:tcW w:w="797" w:type="dxa"/>
          </w:tcPr>
          <w:p>
            <w:pPr>
              <w:pStyle w:val="0"/>
              <w:jc w:val="center"/>
            </w:pPr>
            <w:r>
              <w:rPr>
                <w:sz w:val="20"/>
              </w:rPr>
              <w:t xml:space="preserve">3,4</w:t>
            </w:r>
          </w:p>
        </w:tc>
      </w:tr>
      <w:tr>
        <w:tc>
          <w:tcPr>
            <w:tcW w:w="2778" w:type="dxa"/>
          </w:tcPr>
          <w:p>
            <w:pPr>
              <w:pStyle w:val="0"/>
            </w:pPr>
            <w:r>
              <w:rPr>
                <w:sz w:val="20"/>
              </w:rPr>
              <w:t xml:space="preserve">Деятельность гостиниц и предприятий общественного питания</w:t>
            </w:r>
          </w:p>
        </w:tc>
        <w:tc>
          <w:tcPr>
            <w:tcW w:w="624" w:type="dxa"/>
          </w:tcPr>
          <w:p>
            <w:pPr>
              <w:pStyle w:val="0"/>
              <w:jc w:val="center"/>
            </w:pPr>
            <w:r>
              <w:rPr>
                <w:sz w:val="20"/>
              </w:rPr>
              <w:t xml:space="preserve">1,8</w:t>
            </w:r>
          </w:p>
        </w:tc>
        <w:tc>
          <w:tcPr>
            <w:tcW w:w="680" w:type="dxa"/>
          </w:tcPr>
          <w:p>
            <w:pPr>
              <w:pStyle w:val="0"/>
              <w:jc w:val="center"/>
            </w:pPr>
            <w:r>
              <w:rPr>
                <w:sz w:val="20"/>
              </w:rPr>
              <w:t xml:space="preserve">1,5</w:t>
            </w:r>
          </w:p>
        </w:tc>
        <w:tc>
          <w:tcPr>
            <w:tcW w:w="737" w:type="dxa"/>
          </w:tcPr>
          <w:p>
            <w:pPr>
              <w:pStyle w:val="0"/>
              <w:jc w:val="center"/>
            </w:pPr>
            <w:r>
              <w:rPr>
                <w:sz w:val="20"/>
              </w:rPr>
              <w:t xml:space="preserve">3,3</w:t>
            </w:r>
          </w:p>
        </w:tc>
        <w:tc>
          <w:tcPr>
            <w:tcW w:w="624" w:type="dxa"/>
          </w:tcPr>
          <w:p>
            <w:pPr>
              <w:pStyle w:val="0"/>
              <w:jc w:val="center"/>
            </w:pPr>
            <w:r>
              <w:rPr>
                <w:sz w:val="20"/>
              </w:rPr>
              <w:t xml:space="preserve">0,4</w:t>
            </w:r>
          </w:p>
        </w:tc>
        <w:tc>
          <w:tcPr>
            <w:tcW w:w="737" w:type="dxa"/>
          </w:tcPr>
          <w:p>
            <w:pPr>
              <w:pStyle w:val="0"/>
              <w:jc w:val="center"/>
            </w:pPr>
            <w:r>
              <w:rPr>
                <w:sz w:val="20"/>
              </w:rPr>
              <w:t xml:space="preserve">7,8</w:t>
            </w:r>
          </w:p>
        </w:tc>
        <w:tc>
          <w:tcPr>
            <w:tcW w:w="624" w:type="dxa"/>
          </w:tcPr>
          <w:p>
            <w:pPr>
              <w:pStyle w:val="0"/>
              <w:jc w:val="center"/>
            </w:pPr>
            <w:r>
              <w:rPr>
                <w:sz w:val="20"/>
              </w:rPr>
              <w:t xml:space="preserve">0,1</w:t>
            </w:r>
          </w:p>
        </w:tc>
        <w:tc>
          <w:tcPr>
            <w:tcW w:w="794" w:type="dxa"/>
          </w:tcPr>
          <w:p>
            <w:pPr>
              <w:pStyle w:val="0"/>
              <w:jc w:val="center"/>
            </w:pPr>
            <w:r>
              <w:rPr>
                <w:sz w:val="20"/>
              </w:rPr>
              <w:t xml:space="preserve">1,2</w:t>
            </w:r>
          </w:p>
        </w:tc>
        <w:tc>
          <w:tcPr>
            <w:tcW w:w="624" w:type="dxa"/>
          </w:tcPr>
          <w:p>
            <w:pPr>
              <w:pStyle w:val="0"/>
              <w:jc w:val="center"/>
            </w:pPr>
            <w:r>
              <w:rPr>
                <w:sz w:val="20"/>
              </w:rPr>
              <w:t xml:space="preserve">0,5</w:t>
            </w:r>
          </w:p>
        </w:tc>
        <w:tc>
          <w:tcPr>
            <w:tcW w:w="797" w:type="dxa"/>
          </w:tcPr>
          <w:p>
            <w:pPr>
              <w:pStyle w:val="0"/>
              <w:jc w:val="center"/>
            </w:pPr>
            <w:r>
              <w:rPr>
                <w:sz w:val="20"/>
              </w:rPr>
              <w:t xml:space="preserve">3,9</w:t>
            </w:r>
          </w:p>
        </w:tc>
      </w:tr>
      <w:tr>
        <w:tc>
          <w:tcPr>
            <w:tcW w:w="2778" w:type="dxa"/>
          </w:tcPr>
          <w:p>
            <w:pPr>
              <w:pStyle w:val="0"/>
            </w:pPr>
            <w:r>
              <w:rPr>
                <w:sz w:val="20"/>
              </w:rPr>
              <w:t xml:space="preserve">Деятельность в области информации и связи</w:t>
            </w:r>
          </w:p>
        </w:tc>
        <w:tc>
          <w:tcPr>
            <w:tcW w:w="624" w:type="dxa"/>
          </w:tcPr>
          <w:p>
            <w:pPr>
              <w:pStyle w:val="0"/>
              <w:jc w:val="center"/>
            </w:pPr>
            <w:r>
              <w:rPr>
                <w:sz w:val="20"/>
              </w:rPr>
              <w:t xml:space="preserve">2,2</w:t>
            </w:r>
          </w:p>
        </w:tc>
        <w:tc>
          <w:tcPr>
            <w:tcW w:w="680" w:type="dxa"/>
          </w:tcPr>
          <w:p>
            <w:pPr>
              <w:pStyle w:val="0"/>
              <w:jc w:val="center"/>
            </w:pPr>
            <w:r>
              <w:rPr>
                <w:sz w:val="20"/>
              </w:rPr>
              <w:t xml:space="preserve">7,6</w:t>
            </w:r>
          </w:p>
        </w:tc>
        <w:tc>
          <w:tcPr>
            <w:tcW w:w="737" w:type="dxa"/>
          </w:tcPr>
          <w:p>
            <w:pPr>
              <w:pStyle w:val="0"/>
              <w:jc w:val="center"/>
            </w:pPr>
            <w:r>
              <w:rPr>
                <w:sz w:val="20"/>
              </w:rPr>
              <w:t xml:space="preserve">1,4</w:t>
            </w:r>
          </w:p>
        </w:tc>
        <w:tc>
          <w:tcPr>
            <w:tcW w:w="624" w:type="dxa"/>
          </w:tcPr>
          <w:p>
            <w:pPr>
              <w:pStyle w:val="0"/>
              <w:jc w:val="center"/>
            </w:pPr>
            <w:r>
              <w:rPr>
                <w:sz w:val="20"/>
              </w:rPr>
              <w:t xml:space="preserve">1,0</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1,0</w:t>
            </w:r>
          </w:p>
        </w:tc>
        <w:tc>
          <w:tcPr>
            <w:tcW w:w="624" w:type="dxa"/>
          </w:tcPr>
          <w:p>
            <w:pPr>
              <w:pStyle w:val="0"/>
              <w:jc w:val="center"/>
            </w:pPr>
            <w:r>
              <w:rPr>
                <w:sz w:val="20"/>
              </w:rPr>
              <w:t xml:space="preserve">0,2</w:t>
            </w:r>
          </w:p>
        </w:tc>
        <w:tc>
          <w:tcPr>
            <w:tcW w:w="797" w:type="dxa"/>
          </w:tcPr>
          <w:p>
            <w:pPr>
              <w:pStyle w:val="0"/>
              <w:jc w:val="center"/>
            </w:pPr>
            <w:r>
              <w:rPr>
                <w:sz w:val="20"/>
              </w:rPr>
              <w:t xml:space="preserve">0,1</w:t>
            </w:r>
          </w:p>
        </w:tc>
      </w:tr>
      <w:tr>
        <w:tc>
          <w:tcPr>
            <w:tcW w:w="2778" w:type="dxa"/>
          </w:tcPr>
          <w:p>
            <w:pPr>
              <w:pStyle w:val="0"/>
            </w:pPr>
            <w:r>
              <w:rPr>
                <w:sz w:val="20"/>
              </w:rPr>
              <w:t xml:space="preserve">Деятельность финансовая и страховая</w:t>
            </w:r>
          </w:p>
        </w:tc>
        <w:tc>
          <w:tcPr>
            <w:tcW w:w="624" w:type="dxa"/>
          </w:tcPr>
          <w:p>
            <w:pPr>
              <w:pStyle w:val="0"/>
              <w:jc w:val="center"/>
            </w:pPr>
            <w:r>
              <w:rPr>
                <w:sz w:val="20"/>
              </w:rPr>
              <w:t xml:space="preserve">1,5</w:t>
            </w:r>
          </w:p>
        </w:tc>
        <w:tc>
          <w:tcPr>
            <w:tcW w:w="680" w:type="dxa"/>
          </w:tcPr>
          <w:p>
            <w:pPr>
              <w:pStyle w:val="0"/>
              <w:jc w:val="center"/>
            </w:pPr>
            <w:r>
              <w:rPr>
                <w:sz w:val="20"/>
              </w:rPr>
              <w:t xml:space="preserve">3,7</w:t>
            </w:r>
          </w:p>
        </w:tc>
        <w:tc>
          <w:tcPr>
            <w:tcW w:w="737" w:type="dxa"/>
          </w:tcPr>
          <w:p>
            <w:pPr>
              <w:pStyle w:val="0"/>
              <w:jc w:val="center"/>
            </w:pPr>
            <w:r>
              <w:rPr>
                <w:sz w:val="20"/>
              </w:rPr>
              <w:t xml:space="preserve">3,2</w:t>
            </w:r>
          </w:p>
        </w:tc>
        <w:tc>
          <w:tcPr>
            <w:tcW w:w="624" w:type="dxa"/>
          </w:tcPr>
          <w:p>
            <w:pPr>
              <w:pStyle w:val="0"/>
              <w:jc w:val="center"/>
            </w:pPr>
            <w:r>
              <w:rPr>
                <w:sz w:val="20"/>
              </w:rPr>
              <w:t xml:space="preserve">0,4</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0,1</w:t>
            </w:r>
          </w:p>
        </w:tc>
        <w:tc>
          <w:tcPr>
            <w:tcW w:w="624" w:type="dxa"/>
          </w:tcPr>
          <w:p>
            <w:pPr>
              <w:pStyle w:val="0"/>
              <w:jc w:val="center"/>
            </w:pPr>
            <w:r>
              <w:rPr>
                <w:sz w:val="20"/>
              </w:rPr>
              <w:t xml:space="preserve">0,1</w:t>
            </w:r>
          </w:p>
        </w:tc>
        <w:tc>
          <w:tcPr>
            <w:tcW w:w="797" w:type="dxa"/>
          </w:tcPr>
          <w:p>
            <w:pPr>
              <w:pStyle w:val="0"/>
              <w:jc w:val="center"/>
            </w:pPr>
            <w:r>
              <w:rPr>
                <w:sz w:val="20"/>
              </w:rPr>
              <w:t xml:space="preserve">0,2</w:t>
            </w:r>
          </w:p>
        </w:tc>
      </w:tr>
      <w:tr>
        <w:tc>
          <w:tcPr>
            <w:tcW w:w="2778" w:type="dxa"/>
          </w:tcPr>
          <w:p>
            <w:pPr>
              <w:pStyle w:val="0"/>
            </w:pPr>
            <w:r>
              <w:rPr>
                <w:sz w:val="20"/>
              </w:rPr>
              <w:t xml:space="preserve">Деятельность по операциям с недвижимым имуществом</w:t>
            </w:r>
          </w:p>
        </w:tc>
        <w:tc>
          <w:tcPr>
            <w:tcW w:w="624" w:type="dxa"/>
          </w:tcPr>
          <w:p>
            <w:pPr>
              <w:pStyle w:val="0"/>
              <w:jc w:val="center"/>
            </w:pPr>
            <w:r>
              <w:rPr>
                <w:sz w:val="20"/>
              </w:rPr>
              <w:t xml:space="preserve">2,4</w:t>
            </w:r>
          </w:p>
        </w:tc>
        <w:tc>
          <w:tcPr>
            <w:tcW w:w="680" w:type="dxa"/>
          </w:tcPr>
          <w:p>
            <w:pPr>
              <w:pStyle w:val="0"/>
              <w:jc w:val="center"/>
            </w:pPr>
            <w:r>
              <w:rPr>
                <w:sz w:val="20"/>
              </w:rPr>
              <w:t xml:space="preserve">2,5</w:t>
            </w:r>
          </w:p>
        </w:tc>
        <w:tc>
          <w:tcPr>
            <w:tcW w:w="737" w:type="dxa"/>
          </w:tcPr>
          <w:p>
            <w:pPr>
              <w:pStyle w:val="0"/>
              <w:jc w:val="center"/>
            </w:pPr>
            <w:r>
              <w:rPr>
                <w:sz w:val="20"/>
              </w:rPr>
              <w:t xml:space="preserve">1,8</w:t>
            </w:r>
          </w:p>
        </w:tc>
        <w:tc>
          <w:tcPr>
            <w:tcW w:w="624" w:type="dxa"/>
          </w:tcPr>
          <w:p>
            <w:pPr>
              <w:pStyle w:val="0"/>
              <w:jc w:val="center"/>
            </w:pPr>
            <w:r>
              <w:rPr>
                <w:sz w:val="20"/>
              </w:rPr>
              <w:t xml:space="preserve">1,0</w:t>
            </w:r>
          </w:p>
        </w:tc>
        <w:tc>
          <w:tcPr>
            <w:tcW w:w="737" w:type="dxa"/>
          </w:tcPr>
          <w:p>
            <w:pPr>
              <w:pStyle w:val="0"/>
              <w:jc w:val="center"/>
            </w:pPr>
            <w:r>
              <w:rPr>
                <w:sz w:val="20"/>
              </w:rPr>
              <w:t xml:space="preserve">1,3</w:t>
            </w:r>
          </w:p>
        </w:tc>
        <w:tc>
          <w:tcPr>
            <w:tcW w:w="624" w:type="dxa"/>
          </w:tcPr>
          <w:p>
            <w:pPr>
              <w:pStyle w:val="0"/>
              <w:jc w:val="center"/>
            </w:pPr>
            <w:r>
              <w:rPr>
                <w:sz w:val="20"/>
              </w:rPr>
              <w:t xml:space="preserve">0,0</w:t>
            </w:r>
          </w:p>
        </w:tc>
        <w:tc>
          <w:tcPr>
            <w:tcW w:w="794" w:type="dxa"/>
          </w:tcPr>
          <w:p>
            <w:pPr>
              <w:pStyle w:val="0"/>
              <w:jc w:val="center"/>
            </w:pPr>
            <w:r>
              <w:rPr>
                <w:sz w:val="20"/>
              </w:rPr>
              <w:t xml:space="preserve">4,5</w:t>
            </w:r>
          </w:p>
        </w:tc>
        <w:tc>
          <w:tcPr>
            <w:tcW w:w="624" w:type="dxa"/>
          </w:tcPr>
          <w:p>
            <w:pPr>
              <w:pStyle w:val="0"/>
              <w:jc w:val="center"/>
            </w:pPr>
            <w:r>
              <w:rPr>
                <w:sz w:val="20"/>
              </w:rPr>
              <w:t xml:space="preserve">1,2</w:t>
            </w:r>
          </w:p>
        </w:tc>
        <w:tc>
          <w:tcPr>
            <w:tcW w:w="797" w:type="dxa"/>
          </w:tcPr>
          <w:p>
            <w:pPr>
              <w:pStyle w:val="0"/>
              <w:jc w:val="center"/>
            </w:pPr>
            <w:r>
              <w:rPr>
                <w:sz w:val="20"/>
              </w:rPr>
              <w:t xml:space="preserve">3,3</w:t>
            </w:r>
          </w:p>
        </w:tc>
      </w:tr>
      <w:tr>
        <w:tc>
          <w:tcPr>
            <w:tcW w:w="2778" w:type="dxa"/>
          </w:tcPr>
          <w:p>
            <w:pPr>
              <w:pStyle w:val="0"/>
            </w:pPr>
            <w:r>
              <w:rPr>
                <w:sz w:val="20"/>
              </w:rPr>
              <w:t xml:space="preserve">Деятельность профессиональная, научная и техническая</w:t>
            </w:r>
          </w:p>
        </w:tc>
        <w:tc>
          <w:tcPr>
            <w:tcW w:w="624" w:type="dxa"/>
          </w:tcPr>
          <w:p>
            <w:pPr>
              <w:pStyle w:val="0"/>
              <w:jc w:val="center"/>
            </w:pPr>
            <w:r>
              <w:rPr>
                <w:sz w:val="20"/>
              </w:rPr>
              <w:t xml:space="preserve">2,9</w:t>
            </w:r>
          </w:p>
        </w:tc>
        <w:tc>
          <w:tcPr>
            <w:tcW w:w="680" w:type="dxa"/>
          </w:tcPr>
          <w:p>
            <w:pPr>
              <w:pStyle w:val="0"/>
              <w:jc w:val="center"/>
            </w:pPr>
            <w:r>
              <w:rPr>
                <w:sz w:val="20"/>
              </w:rPr>
              <w:t xml:space="preserve">10,8</w:t>
            </w:r>
          </w:p>
        </w:tc>
        <w:tc>
          <w:tcPr>
            <w:tcW w:w="737" w:type="dxa"/>
          </w:tcPr>
          <w:p>
            <w:pPr>
              <w:pStyle w:val="0"/>
              <w:jc w:val="center"/>
            </w:pPr>
            <w:r>
              <w:rPr>
                <w:sz w:val="20"/>
              </w:rPr>
              <w:t xml:space="preserve">2,0</w:t>
            </w:r>
          </w:p>
        </w:tc>
        <w:tc>
          <w:tcPr>
            <w:tcW w:w="624" w:type="dxa"/>
          </w:tcPr>
          <w:p>
            <w:pPr>
              <w:pStyle w:val="0"/>
              <w:jc w:val="center"/>
            </w:pPr>
            <w:r>
              <w:rPr>
                <w:sz w:val="20"/>
              </w:rPr>
              <w:t xml:space="preserve">0,5</w:t>
            </w:r>
          </w:p>
        </w:tc>
        <w:tc>
          <w:tcPr>
            <w:tcW w:w="737" w:type="dxa"/>
          </w:tcPr>
          <w:p>
            <w:pPr>
              <w:pStyle w:val="0"/>
              <w:jc w:val="center"/>
            </w:pPr>
            <w:r>
              <w:rPr>
                <w:sz w:val="20"/>
              </w:rPr>
              <w:t xml:space="preserve">0,3</w:t>
            </w:r>
          </w:p>
        </w:tc>
        <w:tc>
          <w:tcPr>
            <w:tcW w:w="624" w:type="dxa"/>
          </w:tcPr>
          <w:p>
            <w:pPr>
              <w:pStyle w:val="0"/>
              <w:jc w:val="center"/>
            </w:pPr>
            <w:r>
              <w:rPr>
                <w:sz w:val="20"/>
              </w:rPr>
              <w:t xml:space="preserve">0,0</w:t>
            </w:r>
          </w:p>
        </w:tc>
        <w:tc>
          <w:tcPr>
            <w:tcW w:w="794" w:type="dxa"/>
          </w:tcPr>
          <w:p>
            <w:pPr>
              <w:pStyle w:val="0"/>
              <w:jc w:val="center"/>
            </w:pPr>
            <w:r>
              <w:rPr>
                <w:sz w:val="20"/>
              </w:rPr>
              <w:t xml:space="preserve">1,2</w:t>
            </w:r>
          </w:p>
        </w:tc>
        <w:tc>
          <w:tcPr>
            <w:tcW w:w="624" w:type="dxa"/>
          </w:tcPr>
          <w:p>
            <w:pPr>
              <w:pStyle w:val="0"/>
              <w:jc w:val="center"/>
            </w:pPr>
            <w:r>
              <w:rPr>
                <w:sz w:val="20"/>
              </w:rPr>
              <w:t xml:space="preserve">0,5</w:t>
            </w:r>
          </w:p>
        </w:tc>
        <w:tc>
          <w:tcPr>
            <w:tcW w:w="797" w:type="dxa"/>
          </w:tcPr>
          <w:p>
            <w:pPr>
              <w:pStyle w:val="0"/>
              <w:jc w:val="center"/>
            </w:pPr>
            <w:r>
              <w:rPr>
                <w:sz w:val="20"/>
              </w:rPr>
              <w:t xml:space="preserve">0,9</w:t>
            </w:r>
          </w:p>
        </w:tc>
      </w:tr>
      <w:tr>
        <w:tc>
          <w:tcPr>
            <w:tcW w:w="2778" w:type="dxa"/>
          </w:tcPr>
          <w:p>
            <w:pPr>
              <w:pStyle w:val="0"/>
            </w:pPr>
            <w:r>
              <w:rPr>
                <w:sz w:val="20"/>
              </w:rPr>
              <w:t xml:space="preserve">Деятельность административная и сопутствующие дополнительные услуги</w:t>
            </w:r>
          </w:p>
        </w:tc>
        <w:tc>
          <w:tcPr>
            <w:tcW w:w="624" w:type="dxa"/>
          </w:tcPr>
          <w:p>
            <w:pPr>
              <w:pStyle w:val="0"/>
              <w:jc w:val="center"/>
            </w:pPr>
            <w:r>
              <w:rPr>
                <w:sz w:val="20"/>
              </w:rPr>
              <w:t xml:space="preserve">1,8</w:t>
            </w:r>
          </w:p>
        </w:tc>
        <w:tc>
          <w:tcPr>
            <w:tcW w:w="680" w:type="dxa"/>
          </w:tcPr>
          <w:p>
            <w:pPr>
              <w:pStyle w:val="0"/>
              <w:jc w:val="center"/>
            </w:pPr>
            <w:r>
              <w:rPr>
                <w:sz w:val="20"/>
              </w:rPr>
              <w:t xml:space="preserve">1,3</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10,4</w:t>
            </w:r>
          </w:p>
        </w:tc>
        <w:tc>
          <w:tcPr>
            <w:tcW w:w="624" w:type="dxa"/>
          </w:tcPr>
          <w:p>
            <w:pPr>
              <w:pStyle w:val="0"/>
              <w:jc w:val="center"/>
            </w:pPr>
            <w:r>
              <w:rPr>
                <w:sz w:val="20"/>
              </w:rPr>
              <w:t xml:space="preserve">0,1</w:t>
            </w:r>
          </w:p>
        </w:tc>
        <w:tc>
          <w:tcPr>
            <w:tcW w:w="794" w:type="dxa"/>
          </w:tcPr>
          <w:p>
            <w:pPr>
              <w:pStyle w:val="0"/>
              <w:jc w:val="center"/>
            </w:pPr>
            <w:r>
              <w:rPr>
                <w:sz w:val="20"/>
              </w:rPr>
              <w:t xml:space="preserve">0,6</w:t>
            </w:r>
          </w:p>
        </w:tc>
        <w:tc>
          <w:tcPr>
            <w:tcW w:w="624" w:type="dxa"/>
          </w:tcPr>
          <w:p>
            <w:pPr>
              <w:pStyle w:val="0"/>
              <w:jc w:val="center"/>
            </w:pPr>
            <w:r>
              <w:rPr>
                <w:sz w:val="20"/>
              </w:rPr>
              <w:t xml:space="preserve">1,4</w:t>
            </w:r>
          </w:p>
        </w:tc>
        <w:tc>
          <w:tcPr>
            <w:tcW w:w="797" w:type="dxa"/>
          </w:tcPr>
          <w:p>
            <w:pPr>
              <w:pStyle w:val="0"/>
              <w:jc w:val="center"/>
            </w:pPr>
            <w:r>
              <w:rPr>
                <w:sz w:val="20"/>
              </w:rPr>
              <w:t xml:space="preserve">2,4</w:t>
            </w:r>
          </w:p>
        </w:tc>
      </w:tr>
      <w:tr>
        <w:tc>
          <w:tcPr>
            <w:tcW w:w="2778" w:type="dxa"/>
          </w:tcPr>
          <w:p>
            <w:pPr>
              <w:pStyle w:val="0"/>
            </w:pPr>
            <w:r>
              <w:rPr>
                <w:sz w:val="20"/>
              </w:rPr>
              <w:t xml:space="preserve">Госуправление и обеспечение военной безопасности; соцобеспечение</w:t>
            </w:r>
          </w:p>
        </w:tc>
        <w:tc>
          <w:tcPr>
            <w:tcW w:w="624" w:type="dxa"/>
          </w:tcPr>
          <w:p>
            <w:pPr>
              <w:pStyle w:val="0"/>
              <w:jc w:val="center"/>
            </w:pPr>
            <w:r>
              <w:rPr>
                <w:sz w:val="20"/>
              </w:rPr>
              <w:t xml:space="preserve">4,1</w:t>
            </w:r>
          </w:p>
        </w:tc>
        <w:tc>
          <w:tcPr>
            <w:tcW w:w="680" w:type="dxa"/>
          </w:tcPr>
          <w:p>
            <w:pPr>
              <w:pStyle w:val="0"/>
              <w:jc w:val="center"/>
            </w:pPr>
            <w:r>
              <w:rPr>
                <w:sz w:val="20"/>
              </w:rPr>
              <w:t xml:space="preserve">12,7</w:t>
            </w:r>
          </w:p>
        </w:tc>
        <w:tc>
          <w:tcPr>
            <w:tcW w:w="737" w:type="dxa"/>
          </w:tcPr>
          <w:p>
            <w:pPr>
              <w:pStyle w:val="0"/>
              <w:jc w:val="center"/>
            </w:pPr>
            <w:r>
              <w:rPr>
                <w:sz w:val="20"/>
              </w:rPr>
              <w:t xml:space="preserve">6,5</w:t>
            </w:r>
          </w:p>
        </w:tc>
        <w:tc>
          <w:tcPr>
            <w:tcW w:w="624" w:type="dxa"/>
          </w:tcPr>
          <w:p>
            <w:pPr>
              <w:pStyle w:val="0"/>
              <w:jc w:val="center"/>
            </w:pPr>
            <w:r>
              <w:rPr>
                <w:sz w:val="20"/>
              </w:rPr>
              <w:t xml:space="preserve">1,3</w:t>
            </w:r>
          </w:p>
        </w:tc>
        <w:tc>
          <w:tcPr>
            <w:tcW w:w="737" w:type="dxa"/>
          </w:tcPr>
          <w:p>
            <w:pPr>
              <w:pStyle w:val="0"/>
              <w:jc w:val="center"/>
            </w:pPr>
            <w:r>
              <w:rPr>
                <w:sz w:val="20"/>
              </w:rPr>
              <w:t xml:space="preserve">3,5</w:t>
            </w:r>
          </w:p>
        </w:tc>
        <w:tc>
          <w:tcPr>
            <w:tcW w:w="624" w:type="dxa"/>
          </w:tcPr>
          <w:p>
            <w:pPr>
              <w:pStyle w:val="0"/>
              <w:jc w:val="center"/>
            </w:pPr>
            <w:r>
              <w:rPr>
                <w:sz w:val="20"/>
              </w:rPr>
              <w:t xml:space="preserve">0,0</w:t>
            </w:r>
          </w:p>
        </w:tc>
        <w:tc>
          <w:tcPr>
            <w:tcW w:w="794" w:type="dxa"/>
          </w:tcPr>
          <w:p>
            <w:pPr>
              <w:pStyle w:val="0"/>
              <w:jc w:val="center"/>
            </w:pPr>
            <w:r>
              <w:rPr>
                <w:sz w:val="20"/>
              </w:rPr>
              <w:t xml:space="preserve">0,3</w:t>
            </w:r>
          </w:p>
        </w:tc>
        <w:tc>
          <w:tcPr>
            <w:tcW w:w="624" w:type="dxa"/>
          </w:tcPr>
          <w:p>
            <w:pPr>
              <w:pStyle w:val="0"/>
              <w:jc w:val="center"/>
            </w:pPr>
            <w:r>
              <w:rPr>
                <w:sz w:val="20"/>
              </w:rPr>
              <w:t xml:space="preserve">1,3</w:t>
            </w:r>
          </w:p>
        </w:tc>
        <w:tc>
          <w:tcPr>
            <w:tcW w:w="797" w:type="dxa"/>
          </w:tcPr>
          <w:p>
            <w:pPr>
              <w:pStyle w:val="0"/>
              <w:jc w:val="center"/>
            </w:pPr>
            <w:r>
              <w:rPr>
                <w:sz w:val="20"/>
              </w:rPr>
              <w:t xml:space="preserve">0,6</w:t>
            </w:r>
          </w:p>
        </w:tc>
      </w:tr>
      <w:tr>
        <w:tc>
          <w:tcPr>
            <w:tcW w:w="2778" w:type="dxa"/>
          </w:tcPr>
          <w:p>
            <w:pPr>
              <w:pStyle w:val="0"/>
            </w:pPr>
            <w:r>
              <w:rPr>
                <w:sz w:val="20"/>
              </w:rPr>
              <w:t xml:space="preserve">Образование</w:t>
            </w:r>
          </w:p>
        </w:tc>
        <w:tc>
          <w:tcPr>
            <w:tcW w:w="624" w:type="dxa"/>
          </w:tcPr>
          <w:p>
            <w:pPr>
              <w:pStyle w:val="0"/>
              <w:jc w:val="center"/>
            </w:pPr>
            <w:r>
              <w:rPr>
                <w:sz w:val="20"/>
              </w:rPr>
              <w:t xml:space="preserve">4,7</w:t>
            </w:r>
          </w:p>
        </w:tc>
        <w:tc>
          <w:tcPr>
            <w:tcW w:w="680" w:type="dxa"/>
          </w:tcPr>
          <w:p>
            <w:pPr>
              <w:pStyle w:val="0"/>
              <w:jc w:val="center"/>
            </w:pPr>
            <w:r>
              <w:rPr>
                <w:sz w:val="20"/>
              </w:rPr>
              <w:t xml:space="preserve">27,1</w:t>
            </w:r>
          </w:p>
        </w:tc>
        <w:tc>
          <w:tcPr>
            <w:tcW w:w="737" w:type="dxa"/>
          </w:tcPr>
          <w:p>
            <w:pPr>
              <w:pStyle w:val="0"/>
              <w:jc w:val="center"/>
            </w:pPr>
            <w:r>
              <w:rPr>
                <w:sz w:val="20"/>
              </w:rPr>
              <w:t xml:space="preserve">1,4</w:t>
            </w:r>
          </w:p>
        </w:tc>
        <w:tc>
          <w:tcPr>
            <w:tcW w:w="624" w:type="dxa"/>
          </w:tcPr>
          <w:p>
            <w:pPr>
              <w:pStyle w:val="0"/>
              <w:jc w:val="center"/>
            </w:pPr>
            <w:r>
              <w:rPr>
                <w:sz w:val="20"/>
              </w:rPr>
              <w:t xml:space="preserve">1,9</w:t>
            </w:r>
          </w:p>
        </w:tc>
        <w:tc>
          <w:tcPr>
            <w:tcW w:w="737" w:type="dxa"/>
          </w:tcPr>
          <w:p>
            <w:pPr>
              <w:pStyle w:val="0"/>
              <w:jc w:val="center"/>
            </w:pPr>
            <w:r>
              <w:rPr>
                <w:sz w:val="20"/>
              </w:rPr>
              <w:t xml:space="preserve">6,3</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0,9</w:t>
            </w:r>
          </w:p>
        </w:tc>
        <w:tc>
          <w:tcPr>
            <w:tcW w:w="797" w:type="dxa"/>
          </w:tcPr>
          <w:p>
            <w:pPr>
              <w:pStyle w:val="0"/>
              <w:jc w:val="center"/>
            </w:pPr>
            <w:r>
              <w:rPr>
                <w:sz w:val="20"/>
              </w:rPr>
              <w:t xml:space="preserve">5,9</w:t>
            </w:r>
          </w:p>
        </w:tc>
      </w:tr>
      <w:tr>
        <w:tc>
          <w:tcPr>
            <w:tcW w:w="2778" w:type="dxa"/>
          </w:tcPr>
          <w:p>
            <w:pPr>
              <w:pStyle w:val="0"/>
            </w:pPr>
            <w:r>
              <w:rPr>
                <w:sz w:val="20"/>
              </w:rPr>
              <w:t xml:space="preserve">Деятельность в области здравоохранения и социальных услуг</w:t>
            </w:r>
          </w:p>
        </w:tc>
        <w:tc>
          <w:tcPr>
            <w:tcW w:w="624" w:type="dxa"/>
          </w:tcPr>
          <w:p>
            <w:pPr>
              <w:pStyle w:val="0"/>
              <w:jc w:val="center"/>
            </w:pPr>
            <w:r>
              <w:rPr>
                <w:sz w:val="20"/>
              </w:rPr>
              <w:t xml:space="preserve">2,1</w:t>
            </w:r>
          </w:p>
        </w:tc>
        <w:tc>
          <w:tcPr>
            <w:tcW w:w="680" w:type="dxa"/>
          </w:tcPr>
          <w:p>
            <w:pPr>
              <w:pStyle w:val="0"/>
              <w:jc w:val="center"/>
            </w:pPr>
            <w:r>
              <w:rPr>
                <w:sz w:val="20"/>
              </w:rPr>
              <w:t xml:space="preserve">11,6</w:t>
            </w:r>
          </w:p>
        </w:tc>
        <w:tc>
          <w:tcPr>
            <w:tcW w:w="737" w:type="dxa"/>
          </w:tcPr>
          <w:p>
            <w:pPr>
              <w:pStyle w:val="0"/>
              <w:jc w:val="center"/>
            </w:pPr>
            <w:r>
              <w:rPr>
                <w:sz w:val="20"/>
              </w:rPr>
              <w:t xml:space="preserve">17,5</w:t>
            </w:r>
          </w:p>
        </w:tc>
        <w:tc>
          <w:tcPr>
            <w:tcW w:w="624" w:type="dxa"/>
          </w:tcPr>
          <w:p>
            <w:pPr>
              <w:pStyle w:val="0"/>
              <w:jc w:val="center"/>
            </w:pPr>
            <w:r>
              <w:rPr>
                <w:sz w:val="20"/>
              </w:rPr>
              <w:t xml:space="preserve">0,6</w:t>
            </w:r>
          </w:p>
        </w:tc>
        <w:tc>
          <w:tcPr>
            <w:tcW w:w="737" w:type="dxa"/>
          </w:tcPr>
          <w:p>
            <w:pPr>
              <w:pStyle w:val="0"/>
              <w:jc w:val="center"/>
            </w:pPr>
            <w:r>
              <w:rPr>
                <w:sz w:val="20"/>
              </w:rPr>
              <w:t xml:space="preserve">4,6</w:t>
            </w:r>
          </w:p>
        </w:tc>
        <w:tc>
          <w:tcPr>
            <w:tcW w:w="624" w:type="dxa"/>
          </w:tcPr>
          <w:p>
            <w:pPr>
              <w:pStyle w:val="0"/>
              <w:jc w:val="center"/>
            </w:pPr>
            <w:r>
              <w:rPr>
                <w:sz w:val="20"/>
              </w:rPr>
              <w:t xml:space="preserve">0,0</w:t>
            </w:r>
          </w:p>
        </w:tc>
        <w:tc>
          <w:tcPr>
            <w:tcW w:w="794" w:type="dxa"/>
          </w:tcPr>
          <w:p>
            <w:pPr>
              <w:pStyle w:val="0"/>
              <w:jc w:val="center"/>
            </w:pPr>
            <w:r>
              <w:rPr>
                <w:sz w:val="20"/>
              </w:rPr>
              <w:t xml:space="preserve">0,6</w:t>
            </w:r>
          </w:p>
        </w:tc>
        <w:tc>
          <w:tcPr>
            <w:tcW w:w="624" w:type="dxa"/>
          </w:tcPr>
          <w:p>
            <w:pPr>
              <w:pStyle w:val="0"/>
              <w:jc w:val="center"/>
            </w:pPr>
            <w:r>
              <w:rPr>
                <w:sz w:val="20"/>
              </w:rPr>
              <w:t xml:space="preserve">1,5</w:t>
            </w:r>
          </w:p>
        </w:tc>
        <w:tc>
          <w:tcPr>
            <w:tcW w:w="797" w:type="dxa"/>
          </w:tcPr>
          <w:p>
            <w:pPr>
              <w:pStyle w:val="0"/>
              <w:jc w:val="center"/>
            </w:pPr>
            <w:r>
              <w:rPr>
                <w:sz w:val="20"/>
              </w:rPr>
              <w:t xml:space="preserve">3,4</w:t>
            </w:r>
          </w:p>
        </w:tc>
      </w:tr>
      <w:tr>
        <w:tc>
          <w:tcPr>
            <w:tcW w:w="2778" w:type="dxa"/>
          </w:tcPr>
          <w:p>
            <w:pPr>
              <w:pStyle w:val="0"/>
            </w:pPr>
            <w:r>
              <w:rPr>
                <w:sz w:val="20"/>
              </w:rPr>
              <w:t xml:space="preserve">Деятельность в области культуры, спорта, организации досуга и пр.</w:t>
            </w:r>
          </w:p>
        </w:tc>
        <w:tc>
          <w:tcPr>
            <w:tcW w:w="624" w:type="dxa"/>
          </w:tcPr>
          <w:p>
            <w:pPr>
              <w:pStyle w:val="0"/>
              <w:jc w:val="center"/>
            </w:pPr>
            <w:r>
              <w:rPr>
                <w:sz w:val="20"/>
              </w:rPr>
              <w:t xml:space="preserve">1,5</w:t>
            </w:r>
          </w:p>
        </w:tc>
        <w:tc>
          <w:tcPr>
            <w:tcW w:w="680" w:type="dxa"/>
          </w:tcPr>
          <w:p>
            <w:pPr>
              <w:pStyle w:val="0"/>
              <w:jc w:val="center"/>
            </w:pPr>
            <w:r>
              <w:rPr>
                <w:sz w:val="20"/>
              </w:rPr>
              <w:t xml:space="preserve">4,4</w:t>
            </w:r>
          </w:p>
        </w:tc>
        <w:tc>
          <w:tcPr>
            <w:tcW w:w="737" w:type="dxa"/>
          </w:tcPr>
          <w:p>
            <w:pPr>
              <w:pStyle w:val="0"/>
              <w:jc w:val="center"/>
            </w:pPr>
            <w:r>
              <w:rPr>
                <w:sz w:val="20"/>
              </w:rPr>
              <w:t xml:space="preserve">2,2</w:t>
            </w:r>
          </w:p>
        </w:tc>
        <w:tc>
          <w:tcPr>
            <w:tcW w:w="624" w:type="dxa"/>
          </w:tcPr>
          <w:p>
            <w:pPr>
              <w:pStyle w:val="0"/>
              <w:jc w:val="center"/>
            </w:pPr>
            <w:r>
              <w:rPr>
                <w:sz w:val="20"/>
              </w:rPr>
              <w:t xml:space="preserve">0,5</w:t>
            </w:r>
          </w:p>
        </w:tc>
        <w:tc>
          <w:tcPr>
            <w:tcW w:w="737" w:type="dxa"/>
          </w:tcPr>
          <w:p>
            <w:pPr>
              <w:pStyle w:val="0"/>
              <w:jc w:val="center"/>
            </w:pPr>
            <w:r>
              <w:rPr>
                <w:sz w:val="20"/>
              </w:rPr>
              <w:t xml:space="preserve">0,9</w:t>
            </w:r>
          </w:p>
        </w:tc>
        <w:tc>
          <w:tcPr>
            <w:tcW w:w="624" w:type="dxa"/>
          </w:tcPr>
          <w:p>
            <w:pPr>
              <w:pStyle w:val="0"/>
              <w:jc w:val="center"/>
            </w:pPr>
            <w:r>
              <w:rPr>
                <w:sz w:val="20"/>
              </w:rPr>
              <w:t xml:space="preserve">0,1</w:t>
            </w:r>
          </w:p>
        </w:tc>
        <w:tc>
          <w:tcPr>
            <w:tcW w:w="794" w:type="dxa"/>
          </w:tcPr>
          <w:p>
            <w:pPr>
              <w:pStyle w:val="0"/>
              <w:jc w:val="center"/>
            </w:pPr>
            <w:r>
              <w:rPr>
                <w:sz w:val="20"/>
              </w:rPr>
              <w:t xml:space="preserve">0,2</w:t>
            </w:r>
          </w:p>
        </w:tc>
        <w:tc>
          <w:tcPr>
            <w:tcW w:w="624" w:type="dxa"/>
          </w:tcPr>
          <w:p>
            <w:pPr>
              <w:pStyle w:val="0"/>
              <w:jc w:val="center"/>
            </w:pPr>
            <w:r>
              <w:rPr>
                <w:sz w:val="20"/>
              </w:rPr>
              <w:t xml:space="preserve">0,2</w:t>
            </w:r>
          </w:p>
        </w:tc>
        <w:tc>
          <w:tcPr>
            <w:tcW w:w="797" w:type="dxa"/>
          </w:tcPr>
          <w:p>
            <w:pPr>
              <w:pStyle w:val="0"/>
              <w:jc w:val="center"/>
            </w:pPr>
            <w:r>
              <w:rPr>
                <w:sz w:val="20"/>
              </w:rPr>
              <w:t xml:space="preserve">1,0</w:t>
            </w:r>
          </w:p>
        </w:tc>
      </w:tr>
      <w:tr>
        <w:tc>
          <w:tcPr>
            <w:tcW w:w="2778" w:type="dxa"/>
          </w:tcPr>
          <w:p>
            <w:pPr>
              <w:pStyle w:val="0"/>
            </w:pPr>
            <w:r>
              <w:rPr>
                <w:sz w:val="20"/>
              </w:rPr>
              <w:t xml:space="preserve">Предоставление прочих видов услуг</w:t>
            </w:r>
          </w:p>
        </w:tc>
        <w:tc>
          <w:tcPr>
            <w:tcW w:w="624" w:type="dxa"/>
          </w:tcPr>
          <w:p>
            <w:pPr>
              <w:pStyle w:val="0"/>
              <w:jc w:val="center"/>
            </w:pPr>
            <w:r>
              <w:rPr>
                <w:sz w:val="20"/>
              </w:rPr>
              <w:t xml:space="preserve">1,9</w:t>
            </w:r>
          </w:p>
        </w:tc>
        <w:tc>
          <w:tcPr>
            <w:tcW w:w="680" w:type="dxa"/>
          </w:tcPr>
          <w:p>
            <w:pPr>
              <w:pStyle w:val="0"/>
              <w:jc w:val="center"/>
            </w:pPr>
            <w:r>
              <w:rPr>
                <w:sz w:val="20"/>
              </w:rPr>
              <w:t xml:space="preserve">2,4</w:t>
            </w:r>
          </w:p>
        </w:tc>
        <w:tc>
          <w:tcPr>
            <w:tcW w:w="737" w:type="dxa"/>
          </w:tcPr>
          <w:p>
            <w:pPr>
              <w:pStyle w:val="0"/>
              <w:jc w:val="center"/>
            </w:pPr>
            <w:r>
              <w:rPr>
                <w:sz w:val="20"/>
              </w:rPr>
              <w:t xml:space="preserve">4,3</w:t>
            </w:r>
          </w:p>
        </w:tc>
        <w:tc>
          <w:tcPr>
            <w:tcW w:w="624" w:type="dxa"/>
          </w:tcPr>
          <w:p>
            <w:pPr>
              <w:pStyle w:val="0"/>
              <w:jc w:val="center"/>
            </w:pPr>
            <w:r>
              <w:rPr>
                <w:sz w:val="20"/>
              </w:rPr>
              <w:t xml:space="preserve">0,2</w:t>
            </w:r>
          </w:p>
        </w:tc>
        <w:tc>
          <w:tcPr>
            <w:tcW w:w="737" w:type="dxa"/>
          </w:tcPr>
          <w:p>
            <w:pPr>
              <w:pStyle w:val="0"/>
              <w:jc w:val="center"/>
            </w:pPr>
            <w:r>
              <w:rPr>
                <w:sz w:val="20"/>
              </w:rPr>
              <w:t xml:space="preserve">7,3</w:t>
            </w:r>
          </w:p>
        </w:tc>
        <w:tc>
          <w:tcPr>
            <w:tcW w:w="624" w:type="dxa"/>
          </w:tcPr>
          <w:p>
            <w:pPr>
              <w:pStyle w:val="0"/>
              <w:jc w:val="center"/>
            </w:pPr>
            <w:r>
              <w:rPr>
                <w:sz w:val="20"/>
              </w:rPr>
              <w:t xml:space="preserve">0,0</w:t>
            </w:r>
          </w:p>
        </w:tc>
        <w:tc>
          <w:tcPr>
            <w:tcW w:w="794" w:type="dxa"/>
          </w:tcPr>
          <w:p>
            <w:pPr>
              <w:pStyle w:val="0"/>
              <w:jc w:val="center"/>
            </w:pPr>
            <w:r>
              <w:rPr>
                <w:sz w:val="20"/>
              </w:rPr>
              <w:t xml:space="preserve">1,3</w:t>
            </w:r>
          </w:p>
        </w:tc>
        <w:tc>
          <w:tcPr>
            <w:tcW w:w="624" w:type="dxa"/>
          </w:tcPr>
          <w:p>
            <w:pPr>
              <w:pStyle w:val="0"/>
              <w:jc w:val="center"/>
            </w:pPr>
            <w:r>
              <w:rPr>
                <w:sz w:val="20"/>
              </w:rPr>
              <w:t xml:space="preserve">1,6</w:t>
            </w:r>
          </w:p>
        </w:tc>
        <w:tc>
          <w:tcPr>
            <w:tcW w:w="797" w:type="dxa"/>
          </w:tcPr>
          <w:p>
            <w:pPr>
              <w:pStyle w:val="0"/>
              <w:jc w:val="center"/>
            </w:pPr>
            <w:r>
              <w:rPr>
                <w:sz w:val="20"/>
              </w:rPr>
              <w:t xml:space="preserve">2,9</w:t>
            </w:r>
          </w:p>
        </w:tc>
      </w:tr>
      <w:tr>
        <w:tc>
          <w:tcPr>
            <w:tcW w:w="2778" w:type="dxa"/>
          </w:tcPr>
          <w:p>
            <w:pPr>
              <w:pStyle w:val="0"/>
            </w:pPr>
            <w:r>
              <w:rPr>
                <w:sz w:val="20"/>
              </w:rPr>
              <w:t xml:space="preserve">Итого</w:t>
            </w:r>
          </w:p>
        </w:tc>
        <w:tc>
          <w:tcPr>
            <w:tcW w:w="624" w:type="dxa"/>
          </w:tcPr>
          <w:p>
            <w:pPr>
              <w:pStyle w:val="0"/>
              <w:jc w:val="center"/>
            </w:pPr>
            <w:r>
              <w:rPr>
                <w:sz w:val="20"/>
              </w:rPr>
              <w:t xml:space="preserve">75,6</w:t>
            </w:r>
          </w:p>
        </w:tc>
        <w:tc>
          <w:tcPr>
            <w:tcW w:w="680" w:type="dxa"/>
          </w:tcPr>
          <w:p>
            <w:pPr>
              <w:pStyle w:val="0"/>
              <w:jc w:val="center"/>
            </w:pPr>
            <w:r>
              <w:rPr>
                <w:sz w:val="20"/>
              </w:rPr>
              <w:t xml:space="preserve">144,7</w:t>
            </w:r>
          </w:p>
        </w:tc>
        <w:tc>
          <w:tcPr>
            <w:tcW w:w="737" w:type="dxa"/>
          </w:tcPr>
          <w:p>
            <w:pPr>
              <w:pStyle w:val="0"/>
              <w:jc w:val="center"/>
            </w:pPr>
            <w:r>
              <w:rPr>
                <w:sz w:val="20"/>
              </w:rPr>
              <w:t xml:space="preserve">87,0</w:t>
            </w:r>
          </w:p>
        </w:tc>
        <w:tc>
          <w:tcPr>
            <w:tcW w:w="624" w:type="dxa"/>
          </w:tcPr>
          <w:p>
            <w:pPr>
              <w:pStyle w:val="0"/>
              <w:jc w:val="center"/>
            </w:pPr>
            <w:r>
              <w:rPr>
                <w:sz w:val="20"/>
              </w:rPr>
              <w:t xml:space="preserve">41,1</w:t>
            </w:r>
          </w:p>
        </w:tc>
        <w:tc>
          <w:tcPr>
            <w:tcW w:w="737" w:type="dxa"/>
          </w:tcPr>
          <w:p>
            <w:pPr>
              <w:pStyle w:val="0"/>
              <w:jc w:val="center"/>
            </w:pPr>
            <w:r>
              <w:rPr>
                <w:sz w:val="20"/>
              </w:rPr>
              <w:t xml:space="preserve">98,0</w:t>
            </w:r>
          </w:p>
        </w:tc>
        <w:tc>
          <w:tcPr>
            <w:tcW w:w="624" w:type="dxa"/>
          </w:tcPr>
          <w:p>
            <w:pPr>
              <w:pStyle w:val="0"/>
              <w:jc w:val="center"/>
            </w:pPr>
            <w:r>
              <w:rPr>
                <w:sz w:val="20"/>
              </w:rPr>
              <w:t xml:space="preserve">8,0</w:t>
            </w:r>
          </w:p>
        </w:tc>
        <w:tc>
          <w:tcPr>
            <w:tcW w:w="794" w:type="dxa"/>
          </w:tcPr>
          <w:p>
            <w:pPr>
              <w:pStyle w:val="0"/>
              <w:jc w:val="center"/>
            </w:pPr>
            <w:r>
              <w:rPr>
                <w:sz w:val="20"/>
              </w:rPr>
              <w:t xml:space="preserve">115,3</w:t>
            </w:r>
          </w:p>
        </w:tc>
        <w:tc>
          <w:tcPr>
            <w:tcW w:w="624" w:type="dxa"/>
          </w:tcPr>
          <w:p>
            <w:pPr>
              <w:pStyle w:val="0"/>
              <w:jc w:val="center"/>
            </w:pPr>
            <w:r>
              <w:rPr>
                <w:sz w:val="20"/>
              </w:rPr>
              <w:t xml:space="preserve">94,3</w:t>
            </w:r>
          </w:p>
        </w:tc>
        <w:tc>
          <w:tcPr>
            <w:tcW w:w="797" w:type="dxa"/>
          </w:tcPr>
          <w:p>
            <w:pPr>
              <w:pStyle w:val="0"/>
              <w:jc w:val="center"/>
            </w:pPr>
            <w:r>
              <w:rPr>
                <w:sz w:val="20"/>
              </w:rPr>
              <w:t xml:space="preserve">66,0</w:t>
            </w:r>
          </w:p>
        </w:tc>
      </w:tr>
      <w:tr>
        <w:tc>
          <w:tcPr>
            <w:tcW w:w="2778" w:type="dxa"/>
          </w:tcPr>
          <w:p>
            <w:pPr>
              <w:pStyle w:val="0"/>
            </w:pPr>
            <w:r>
              <w:rPr>
                <w:sz w:val="20"/>
              </w:rPr>
              <w:t xml:space="preserve">&lt;*&gt; код укрупненной группы занятий в соответствии с Общероссийским классификатором занятий ("ОК 010-2014 (МСКЗ-08). Общероссийский классификатор занятий" (принят и введен в действие </w:t>
            </w:r>
            <w:hyperlink w:history="0" r:id="rId112" w:tooltip="&quot;ОК 010-2014 (МСКЗ-08). Общероссийский классификатор занятий&quot; (принят и введен в действие Приказом Росстандарта от 12.12.2014 N 2020-ст) (ред. от 18.02.2021) {КонсультантПлюс}">
              <w:r>
                <w:rPr>
                  <w:sz w:val="20"/>
                  <w:color w:val="0000ff"/>
                </w:rPr>
                <w:t xml:space="preserve">Приказом</w:t>
              </w:r>
            </w:hyperlink>
            <w:r>
              <w:rPr>
                <w:sz w:val="20"/>
              </w:rPr>
              <w:t xml:space="preserve"> Росстандарта от 12.12.2014 N 2020-ст))</w:t>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797" w:type="dxa"/>
          </w:tcPr>
          <w:p>
            <w:pPr>
              <w:pStyle w:val="0"/>
            </w:pPr>
            <w:r>
              <w:rPr>
                <w:sz w:val="20"/>
              </w:rPr>
            </w:r>
          </w:p>
        </w:tc>
      </w:tr>
    </w:tbl>
    <w:p>
      <w:pPr>
        <w:pStyle w:val="0"/>
      </w:pPr>
      <w:r>
        <w:rPr>
          <w:sz w:val="20"/>
        </w:rPr>
      </w:r>
    </w:p>
    <w:p>
      <w:pPr>
        <w:pStyle w:val="2"/>
        <w:outlineLvl w:val="2"/>
        <w:jc w:val="center"/>
      </w:pPr>
      <w:r>
        <w:rPr>
          <w:sz w:val="20"/>
        </w:rPr>
        <w:t xml:space="preserve">Прогноз потребности отраслей экономики Тульской области</w:t>
      </w:r>
    </w:p>
    <w:p>
      <w:pPr>
        <w:pStyle w:val="2"/>
        <w:jc w:val="center"/>
      </w:pPr>
      <w:r>
        <w:rPr>
          <w:sz w:val="20"/>
        </w:rPr>
        <w:t xml:space="preserve">в специалистах различных профессионально-квалификационных</w:t>
      </w:r>
    </w:p>
    <w:p>
      <w:pPr>
        <w:pStyle w:val="2"/>
        <w:jc w:val="center"/>
      </w:pPr>
      <w:r>
        <w:rPr>
          <w:sz w:val="20"/>
        </w:rPr>
        <w:t xml:space="preserve">групп в 2032 году, тыс. человек</w:t>
      </w:r>
    </w:p>
    <w:p>
      <w:pPr>
        <w:pStyle w:val="0"/>
      </w:pPr>
      <w:r>
        <w:rPr>
          <w:sz w:val="20"/>
        </w:rPr>
      </w:r>
    </w:p>
    <w:p>
      <w:pPr>
        <w:pStyle w:val="0"/>
        <w:outlineLvl w:val="3"/>
        <w:jc w:val="right"/>
      </w:pPr>
      <w:r>
        <w:rPr>
          <w:sz w:val="20"/>
        </w:rPr>
        <w:t xml:space="preserve">Таблица 7</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778"/>
        <w:gridCol w:w="624"/>
        <w:gridCol w:w="680"/>
        <w:gridCol w:w="737"/>
        <w:gridCol w:w="624"/>
        <w:gridCol w:w="737"/>
        <w:gridCol w:w="624"/>
        <w:gridCol w:w="794"/>
        <w:gridCol w:w="624"/>
        <w:gridCol w:w="797"/>
      </w:tblGrid>
      <w:tr>
        <w:tc>
          <w:tcPr>
            <w:tcW w:w="2778" w:type="dxa"/>
            <w:vMerge w:val="restart"/>
          </w:tcPr>
          <w:p>
            <w:pPr>
              <w:pStyle w:val="0"/>
              <w:jc w:val="center"/>
            </w:pPr>
            <w:r>
              <w:rPr>
                <w:sz w:val="20"/>
              </w:rPr>
              <w:t xml:space="preserve">Виды экономической деятельности</w:t>
            </w:r>
          </w:p>
        </w:tc>
        <w:tc>
          <w:tcPr>
            <w:gridSpan w:val="9"/>
            <w:tcW w:w="6241" w:type="dxa"/>
          </w:tcPr>
          <w:p>
            <w:pPr>
              <w:pStyle w:val="0"/>
              <w:jc w:val="center"/>
            </w:pPr>
            <w:r>
              <w:rPr>
                <w:sz w:val="20"/>
              </w:rPr>
              <w:t xml:space="preserve">Группы занятий &lt;*&gt;</w:t>
            </w:r>
          </w:p>
        </w:tc>
      </w:tr>
      <w:tr>
        <w:tc>
          <w:tcPr>
            <w:vMerge w:val="continue"/>
          </w:tcPr>
          <w:p/>
        </w:tc>
        <w:tc>
          <w:tcPr>
            <w:tcW w:w="624" w:type="dxa"/>
          </w:tcPr>
          <w:p>
            <w:pPr>
              <w:pStyle w:val="0"/>
              <w:jc w:val="center"/>
            </w:pPr>
            <w:r>
              <w:rPr>
                <w:sz w:val="20"/>
              </w:rPr>
              <w:t xml:space="preserve">1</w:t>
            </w:r>
          </w:p>
        </w:tc>
        <w:tc>
          <w:tcPr>
            <w:tcW w:w="680" w:type="dxa"/>
          </w:tcPr>
          <w:p>
            <w:pPr>
              <w:pStyle w:val="0"/>
              <w:jc w:val="center"/>
            </w:pPr>
            <w:r>
              <w:rPr>
                <w:sz w:val="20"/>
              </w:rPr>
              <w:t xml:space="preserve">2</w:t>
            </w:r>
          </w:p>
        </w:tc>
        <w:tc>
          <w:tcPr>
            <w:tcW w:w="737" w:type="dxa"/>
          </w:tcPr>
          <w:p>
            <w:pPr>
              <w:pStyle w:val="0"/>
              <w:jc w:val="center"/>
            </w:pPr>
            <w:r>
              <w:rPr>
                <w:sz w:val="20"/>
              </w:rPr>
              <w:t xml:space="preserve">3</w:t>
            </w:r>
          </w:p>
        </w:tc>
        <w:tc>
          <w:tcPr>
            <w:tcW w:w="624" w:type="dxa"/>
          </w:tcPr>
          <w:p>
            <w:pPr>
              <w:pStyle w:val="0"/>
              <w:jc w:val="center"/>
            </w:pPr>
            <w:r>
              <w:rPr>
                <w:sz w:val="20"/>
              </w:rPr>
              <w:t xml:space="preserve">4</w:t>
            </w:r>
          </w:p>
        </w:tc>
        <w:tc>
          <w:tcPr>
            <w:tcW w:w="737" w:type="dxa"/>
          </w:tcPr>
          <w:p>
            <w:pPr>
              <w:pStyle w:val="0"/>
              <w:jc w:val="center"/>
            </w:pPr>
            <w:r>
              <w:rPr>
                <w:sz w:val="20"/>
              </w:rPr>
              <w:t xml:space="preserve">5</w:t>
            </w:r>
          </w:p>
        </w:tc>
        <w:tc>
          <w:tcPr>
            <w:tcW w:w="624" w:type="dxa"/>
          </w:tcPr>
          <w:p>
            <w:pPr>
              <w:pStyle w:val="0"/>
              <w:jc w:val="center"/>
            </w:pPr>
            <w:r>
              <w:rPr>
                <w:sz w:val="20"/>
              </w:rPr>
              <w:t xml:space="preserve">6</w:t>
            </w:r>
          </w:p>
        </w:tc>
        <w:tc>
          <w:tcPr>
            <w:tcW w:w="794" w:type="dxa"/>
          </w:tcPr>
          <w:p>
            <w:pPr>
              <w:pStyle w:val="0"/>
              <w:jc w:val="center"/>
            </w:pPr>
            <w:r>
              <w:rPr>
                <w:sz w:val="20"/>
              </w:rPr>
              <w:t xml:space="preserve">7</w:t>
            </w:r>
          </w:p>
        </w:tc>
        <w:tc>
          <w:tcPr>
            <w:tcW w:w="624" w:type="dxa"/>
          </w:tcPr>
          <w:p>
            <w:pPr>
              <w:pStyle w:val="0"/>
              <w:jc w:val="center"/>
            </w:pPr>
            <w:r>
              <w:rPr>
                <w:sz w:val="20"/>
              </w:rPr>
              <w:t xml:space="preserve">8</w:t>
            </w:r>
          </w:p>
        </w:tc>
        <w:tc>
          <w:tcPr>
            <w:tcW w:w="797" w:type="dxa"/>
          </w:tcPr>
          <w:p>
            <w:pPr>
              <w:pStyle w:val="0"/>
              <w:jc w:val="center"/>
            </w:pPr>
            <w:r>
              <w:rPr>
                <w:sz w:val="20"/>
              </w:rPr>
              <w:t xml:space="preserve">9</w:t>
            </w:r>
          </w:p>
        </w:tc>
      </w:tr>
      <w:tr>
        <w:tc>
          <w:tcPr>
            <w:tcW w:w="2778" w:type="dxa"/>
          </w:tcPr>
          <w:p>
            <w:pPr>
              <w:pStyle w:val="0"/>
            </w:pPr>
            <w:r>
              <w:rPr>
                <w:sz w:val="20"/>
              </w:rPr>
              <w:t xml:space="preserve">Сельское, лесное хозяйство, охота, рыболовство и рыбоводство</w:t>
            </w:r>
          </w:p>
        </w:tc>
        <w:tc>
          <w:tcPr>
            <w:tcW w:w="624" w:type="dxa"/>
          </w:tcPr>
          <w:p>
            <w:pPr>
              <w:pStyle w:val="0"/>
              <w:jc w:val="center"/>
            </w:pPr>
            <w:r>
              <w:rPr>
                <w:sz w:val="20"/>
              </w:rPr>
              <w:t xml:space="preserve">2,8</w:t>
            </w:r>
          </w:p>
        </w:tc>
        <w:tc>
          <w:tcPr>
            <w:tcW w:w="680" w:type="dxa"/>
          </w:tcPr>
          <w:p>
            <w:pPr>
              <w:pStyle w:val="0"/>
              <w:jc w:val="center"/>
            </w:pPr>
            <w:r>
              <w:rPr>
                <w:sz w:val="20"/>
              </w:rPr>
              <w:t xml:space="preserve">4,4</w:t>
            </w:r>
          </w:p>
        </w:tc>
        <w:tc>
          <w:tcPr>
            <w:tcW w:w="737" w:type="dxa"/>
          </w:tcPr>
          <w:p>
            <w:pPr>
              <w:pStyle w:val="0"/>
              <w:jc w:val="center"/>
            </w:pPr>
            <w:r>
              <w:rPr>
                <w:sz w:val="20"/>
              </w:rPr>
              <w:t xml:space="preserve">2,1</w:t>
            </w:r>
          </w:p>
        </w:tc>
        <w:tc>
          <w:tcPr>
            <w:tcW w:w="624" w:type="dxa"/>
          </w:tcPr>
          <w:p>
            <w:pPr>
              <w:pStyle w:val="0"/>
              <w:jc w:val="center"/>
            </w:pPr>
            <w:r>
              <w:rPr>
                <w:sz w:val="20"/>
              </w:rPr>
              <w:t xml:space="preserve">1,7</w:t>
            </w:r>
          </w:p>
        </w:tc>
        <w:tc>
          <w:tcPr>
            <w:tcW w:w="737" w:type="dxa"/>
          </w:tcPr>
          <w:p>
            <w:pPr>
              <w:pStyle w:val="0"/>
              <w:jc w:val="center"/>
            </w:pPr>
            <w:r>
              <w:rPr>
                <w:sz w:val="20"/>
              </w:rPr>
              <w:t xml:space="preserve">2,1</w:t>
            </w:r>
          </w:p>
        </w:tc>
        <w:tc>
          <w:tcPr>
            <w:tcW w:w="624" w:type="dxa"/>
          </w:tcPr>
          <w:p>
            <w:pPr>
              <w:pStyle w:val="0"/>
              <w:jc w:val="center"/>
            </w:pPr>
            <w:r>
              <w:rPr>
                <w:sz w:val="20"/>
              </w:rPr>
              <w:t xml:space="preserve">7,6</w:t>
            </w:r>
          </w:p>
        </w:tc>
        <w:tc>
          <w:tcPr>
            <w:tcW w:w="794" w:type="dxa"/>
          </w:tcPr>
          <w:p>
            <w:pPr>
              <w:pStyle w:val="0"/>
              <w:jc w:val="center"/>
            </w:pPr>
            <w:r>
              <w:rPr>
                <w:sz w:val="20"/>
              </w:rPr>
              <w:t xml:space="preserve">3,6</w:t>
            </w:r>
          </w:p>
        </w:tc>
        <w:tc>
          <w:tcPr>
            <w:tcW w:w="624" w:type="dxa"/>
          </w:tcPr>
          <w:p>
            <w:pPr>
              <w:pStyle w:val="0"/>
              <w:jc w:val="center"/>
            </w:pPr>
            <w:r>
              <w:rPr>
                <w:sz w:val="20"/>
              </w:rPr>
              <w:t xml:space="preserve">10,0</w:t>
            </w:r>
          </w:p>
        </w:tc>
        <w:tc>
          <w:tcPr>
            <w:tcW w:w="797" w:type="dxa"/>
          </w:tcPr>
          <w:p>
            <w:pPr>
              <w:pStyle w:val="0"/>
              <w:jc w:val="center"/>
            </w:pPr>
            <w:r>
              <w:rPr>
                <w:sz w:val="20"/>
              </w:rPr>
              <w:t xml:space="preserve">7,2</w:t>
            </w:r>
          </w:p>
        </w:tc>
      </w:tr>
      <w:tr>
        <w:tc>
          <w:tcPr>
            <w:tcW w:w="2778" w:type="dxa"/>
          </w:tcPr>
          <w:p>
            <w:pPr>
              <w:pStyle w:val="0"/>
            </w:pPr>
            <w:r>
              <w:rPr>
                <w:sz w:val="20"/>
              </w:rPr>
              <w:t xml:space="preserve">Добыча полезных ископаемых</w:t>
            </w:r>
          </w:p>
        </w:tc>
        <w:tc>
          <w:tcPr>
            <w:tcW w:w="624" w:type="dxa"/>
          </w:tcPr>
          <w:p>
            <w:pPr>
              <w:pStyle w:val="0"/>
              <w:jc w:val="center"/>
            </w:pPr>
            <w:r>
              <w:rPr>
                <w:sz w:val="20"/>
              </w:rPr>
              <w:t xml:space="preserve">0,2</w:t>
            </w:r>
          </w:p>
        </w:tc>
        <w:tc>
          <w:tcPr>
            <w:tcW w:w="680" w:type="dxa"/>
          </w:tcPr>
          <w:p>
            <w:pPr>
              <w:pStyle w:val="0"/>
              <w:jc w:val="center"/>
            </w:pPr>
            <w:r>
              <w:rPr>
                <w:sz w:val="20"/>
              </w:rPr>
              <w:t xml:space="preserve">0,2</w:t>
            </w:r>
          </w:p>
        </w:tc>
        <w:tc>
          <w:tcPr>
            <w:tcW w:w="737" w:type="dxa"/>
          </w:tcPr>
          <w:p>
            <w:pPr>
              <w:pStyle w:val="0"/>
              <w:jc w:val="center"/>
            </w:pPr>
            <w:r>
              <w:rPr>
                <w:sz w:val="20"/>
              </w:rPr>
              <w:t xml:space="preserve">0,1</w:t>
            </w:r>
          </w:p>
        </w:tc>
        <w:tc>
          <w:tcPr>
            <w:tcW w:w="624" w:type="dxa"/>
          </w:tcPr>
          <w:p>
            <w:pPr>
              <w:pStyle w:val="0"/>
              <w:jc w:val="center"/>
            </w:pPr>
            <w:r>
              <w:rPr>
                <w:sz w:val="20"/>
              </w:rPr>
              <w:t xml:space="preserve">0,1</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0,7</w:t>
            </w:r>
          </w:p>
        </w:tc>
        <w:tc>
          <w:tcPr>
            <w:tcW w:w="624" w:type="dxa"/>
          </w:tcPr>
          <w:p>
            <w:pPr>
              <w:pStyle w:val="0"/>
              <w:jc w:val="center"/>
            </w:pPr>
            <w:r>
              <w:rPr>
                <w:sz w:val="20"/>
              </w:rPr>
              <w:t xml:space="preserve">1,1</w:t>
            </w:r>
          </w:p>
        </w:tc>
        <w:tc>
          <w:tcPr>
            <w:tcW w:w="797" w:type="dxa"/>
          </w:tcPr>
          <w:p>
            <w:pPr>
              <w:pStyle w:val="0"/>
              <w:jc w:val="center"/>
            </w:pPr>
            <w:r>
              <w:rPr>
                <w:sz w:val="20"/>
              </w:rPr>
              <w:t xml:space="preserve">0,1</w:t>
            </w:r>
          </w:p>
        </w:tc>
      </w:tr>
      <w:tr>
        <w:tc>
          <w:tcPr>
            <w:tcW w:w="2778" w:type="dxa"/>
          </w:tcPr>
          <w:p>
            <w:pPr>
              <w:pStyle w:val="0"/>
            </w:pPr>
            <w:r>
              <w:rPr>
                <w:sz w:val="20"/>
              </w:rPr>
              <w:t xml:space="preserve">Обрабатывающие производства</w:t>
            </w:r>
          </w:p>
        </w:tc>
        <w:tc>
          <w:tcPr>
            <w:tcW w:w="624" w:type="dxa"/>
          </w:tcPr>
          <w:p>
            <w:pPr>
              <w:pStyle w:val="0"/>
              <w:jc w:val="center"/>
            </w:pPr>
            <w:r>
              <w:rPr>
                <w:sz w:val="20"/>
              </w:rPr>
              <w:t xml:space="preserve">14,9</w:t>
            </w:r>
          </w:p>
        </w:tc>
        <w:tc>
          <w:tcPr>
            <w:tcW w:w="680" w:type="dxa"/>
          </w:tcPr>
          <w:p>
            <w:pPr>
              <w:pStyle w:val="0"/>
              <w:jc w:val="center"/>
            </w:pPr>
            <w:r>
              <w:rPr>
                <w:sz w:val="20"/>
              </w:rPr>
              <w:t xml:space="preserve">24,1</w:t>
            </w:r>
          </w:p>
        </w:tc>
        <w:tc>
          <w:tcPr>
            <w:tcW w:w="737" w:type="dxa"/>
          </w:tcPr>
          <w:p>
            <w:pPr>
              <w:pStyle w:val="0"/>
              <w:jc w:val="center"/>
            </w:pPr>
            <w:r>
              <w:rPr>
                <w:sz w:val="20"/>
              </w:rPr>
              <w:t xml:space="preserve">13,7</w:t>
            </w:r>
          </w:p>
        </w:tc>
        <w:tc>
          <w:tcPr>
            <w:tcW w:w="624" w:type="dxa"/>
          </w:tcPr>
          <w:p>
            <w:pPr>
              <w:pStyle w:val="0"/>
              <w:jc w:val="center"/>
            </w:pPr>
            <w:r>
              <w:rPr>
                <w:sz w:val="20"/>
              </w:rPr>
              <w:t xml:space="preserve">6,8</w:t>
            </w:r>
          </w:p>
        </w:tc>
        <w:tc>
          <w:tcPr>
            <w:tcW w:w="737" w:type="dxa"/>
          </w:tcPr>
          <w:p>
            <w:pPr>
              <w:pStyle w:val="0"/>
              <w:jc w:val="center"/>
            </w:pPr>
            <w:r>
              <w:rPr>
                <w:sz w:val="20"/>
              </w:rPr>
              <w:t xml:space="preserve">3,6</w:t>
            </w:r>
          </w:p>
        </w:tc>
        <w:tc>
          <w:tcPr>
            <w:tcW w:w="624" w:type="dxa"/>
          </w:tcPr>
          <w:p>
            <w:pPr>
              <w:pStyle w:val="0"/>
              <w:jc w:val="center"/>
            </w:pPr>
            <w:r>
              <w:rPr>
                <w:sz w:val="20"/>
              </w:rPr>
              <w:t xml:space="preserve">0,2</w:t>
            </w:r>
          </w:p>
        </w:tc>
        <w:tc>
          <w:tcPr>
            <w:tcW w:w="794" w:type="dxa"/>
          </w:tcPr>
          <w:p>
            <w:pPr>
              <w:pStyle w:val="0"/>
              <w:jc w:val="center"/>
            </w:pPr>
            <w:r>
              <w:rPr>
                <w:sz w:val="20"/>
              </w:rPr>
              <w:t xml:space="preserve">54,1</w:t>
            </w:r>
          </w:p>
        </w:tc>
        <w:tc>
          <w:tcPr>
            <w:tcW w:w="624" w:type="dxa"/>
          </w:tcPr>
          <w:p>
            <w:pPr>
              <w:pStyle w:val="0"/>
              <w:jc w:val="center"/>
            </w:pPr>
            <w:r>
              <w:rPr>
                <w:sz w:val="20"/>
              </w:rPr>
              <w:t xml:space="preserve">32,9</w:t>
            </w:r>
          </w:p>
        </w:tc>
        <w:tc>
          <w:tcPr>
            <w:tcW w:w="797" w:type="dxa"/>
          </w:tcPr>
          <w:p>
            <w:pPr>
              <w:pStyle w:val="0"/>
              <w:jc w:val="center"/>
            </w:pPr>
            <w:r>
              <w:rPr>
                <w:sz w:val="20"/>
              </w:rPr>
              <w:t xml:space="preserve">14,6</w:t>
            </w:r>
          </w:p>
        </w:tc>
      </w:tr>
      <w:tr>
        <w:tc>
          <w:tcPr>
            <w:tcW w:w="2778" w:type="dxa"/>
          </w:tcPr>
          <w:p>
            <w:pPr>
              <w:pStyle w:val="0"/>
            </w:pPr>
            <w:r>
              <w:rPr>
                <w:sz w:val="20"/>
              </w:rPr>
              <w:t xml:space="preserve">Обеспечение электроэнергией, газом и паром; кондиционирование воздуха</w:t>
            </w:r>
          </w:p>
        </w:tc>
        <w:tc>
          <w:tcPr>
            <w:tcW w:w="624" w:type="dxa"/>
          </w:tcPr>
          <w:p>
            <w:pPr>
              <w:pStyle w:val="0"/>
              <w:jc w:val="center"/>
            </w:pPr>
            <w:r>
              <w:rPr>
                <w:sz w:val="20"/>
              </w:rPr>
              <w:t xml:space="preserve">1,4</w:t>
            </w:r>
          </w:p>
        </w:tc>
        <w:tc>
          <w:tcPr>
            <w:tcW w:w="680" w:type="dxa"/>
          </w:tcPr>
          <w:p>
            <w:pPr>
              <w:pStyle w:val="0"/>
              <w:jc w:val="center"/>
            </w:pPr>
            <w:r>
              <w:rPr>
                <w:sz w:val="20"/>
              </w:rPr>
              <w:t xml:space="preserve">3,1</w:t>
            </w:r>
          </w:p>
        </w:tc>
        <w:tc>
          <w:tcPr>
            <w:tcW w:w="737" w:type="dxa"/>
          </w:tcPr>
          <w:p>
            <w:pPr>
              <w:pStyle w:val="0"/>
              <w:jc w:val="center"/>
            </w:pPr>
            <w:r>
              <w:rPr>
                <w:sz w:val="20"/>
              </w:rPr>
              <w:t xml:space="preserve">2,0</w:t>
            </w:r>
          </w:p>
        </w:tc>
        <w:tc>
          <w:tcPr>
            <w:tcW w:w="624" w:type="dxa"/>
          </w:tcPr>
          <w:p>
            <w:pPr>
              <w:pStyle w:val="0"/>
              <w:jc w:val="center"/>
            </w:pPr>
            <w:r>
              <w:rPr>
                <w:sz w:val="20"/>
              </w:rPr>
              <w:t xml:space="preserve">0,6</w:t>
            </w:r>
          </w:p>
        </w:tc>
        <w:tc>
          <w:tcPr>
            <w:tcW w:w="737" w:type="dxa"/>
          </w:tcPr>
          <w:p>
            <w:pPr>
              <w:pStyle w:val="0"/>
              <w:jc w:val="center"/>
            </w:pPr>
            <w:r>
              <w:rPr>
                <w:sz w:val="20"/>
              </w:rPr>
              <w:t xml:space="preserve">0,2</w:t>
            </w:r>
          </w:p>
        </w:tc>
        <w:tc>
          <w:tcPr>
            <w:tcW w:w="624" w:type="dxa"/>
          </w:tcPr>
          <w:p>
            <w:pPr>
              <w:pStyle w:val="0"/>
              <w:jc w:val="center"/>
            </w:pPr>
            <w:r>
              <w:rPr>
                <w:sz w:val="20"/>
              </w:rPr>
              <w:t xml:space="preserve">0,0</w:t>
            </w:r>
          </w:p>
        </w:tc>
        <w:tc>
          <w:tcPr>
            <w:tcW w:w="794" w:type="dxa"/>
          </w:tcPr>
          <w:p>
            <w:pPr>
              <w:pStyle w:val="0"/>
              <w:jc w:val="center"/>
            </w:pPr>
            <w:r>
              <w:rPr>
                <w:sz w:val="20"/>
              </w:rPr>
              <w:t xml:space="preserve">6,0</w:t>
            </w:r>
          </w:p>
        </w:tc>
        <w:tc>
          <w:tcPr>
            <w:tcW w:w="624" w:type="dxa"/>
          </w:tcPr>
          <w:p>
            <w:pPr>
              <w:pStyle w:val="0"/>
              <w:jc w:val="center"/>
            </w:pPr>
            <w:r>
              <w:rPr>
                <w:sz w:val="20"/>
              </w:rPr>
              <w:t xml:space="preserve">4,0</w:t>
            </w:r>
          </w:p>
        </w:tc>
        <w:tc>
          <w:tcPr>
            <w:tcW w:w="797" w:type="dxa"/>
          </w:tcPr>
          <w:p>
            <w:pPr>
              <w:pStyle w:val="0"/>
              <w:jc w:val="center"/>
            </w:pPr>
            <w:r>
              <w:rPr>
                <w:sz w:val="20"/>
              </w:rPr>
              <w:t xml:space="preserve">0,4</w:t>
            </w:r>
          </w:p>
        </w:tc>
      </w:tr>
      <w:tr>
        <w:tc>
          <w:tcPr>
            <w:tcW w:w="2778" w:type="dxa"/>
          </w:tcPr>
          <w:p>
            <w:pPr>
              <w:pStyle w:val="0"/>
            </w:pPr>
            <w:r>
              <w:rPr>
                <w:sz w:val="20"/>
              </w:rPr>
              <w:t xml:space="preserve">Водоснабжение; водоотведение, организация сбора и утилизации отходов, деятельность по ликвидации загрязнений</w:t>
            </w:r>
          </w:p>
        </w:tc>
        <w:tc>
          <w:tcPr>
            <w:tcW w:w="624" w:type="dxa"/>
          </w:tcPr>
          <w:p>
            <w:pPr>
              <w:pStyle w:val="0"/>
              <w:jc w:val="center"/>
            </w:pPr>
            <w:r>
              <w:rPr>
                <w:sz w:val="20"/>
              </w:rPr>
              <w:t xml:space="preserve">0,7</w:t>
            </w:r>
          </w:p>
        </w:tc>
        <w:tc>
          <w:tcPr>
            <w:tcW w:w="680" w:type="dxa"/>
          </w:tcPr>
          <w:p>
            <w:pPr>
              <w:pStyle w:val="0"/>
              <w:jc w:val="center"/>
            </w:pPr>
            <w:r>
              <w:rPr>
                <w:sz w:val="20"/>
              </w:rPr>
              <w:t xml:space="preserve">0,9</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0,0</w:t>
            </w:r>
          </w:p>
        </w:tc>
        <w:tc>
          <w:tcPr>
            <w:tcW w:w="624" w:type="dxa"/>
          </w:tcPr>
          <w:p>
            <w:pPr>
              <w:pStyle w:val="0"/>
              <w:jc w:val="center"/>
            </w:pPr>
            <w:r>
              <w:rPr>
                <w:sz w:val="20"/>
              </w:rPr>
              <w:t xml:space="preserve">0,0</w:t>
            </w:r>
          </w:p>
        </w:tc>
        <w:tc>
          <w:tcPr>
            <w:tcW w:w="794" w:type="dxa"/>
          </w:tcPr>
          <w:p>
            <w:pPr>
              <w:pStyle w:val="0"/>
              <w:jc w:val="center"/>
            </w:pPr>
            <w:r>
              <w:rPr>
                <w:sz w:val="20"/>
              </w:rPr>
              <w:t xml:space="preserve">2,0</w:t>
            </w:r>
          </w:p>
        </w:tc>
        <w:tc>
          <w:tcPr>
            <w:tcW w:w="624" w:type="dxa"/>
          </w:tcPr>
          <w:p>
            <w:pPr>
              <w:pStyle w:val="0"/>
              <w:jc w:val="center"/>
            </w:pPr>
            <w:r>
              <w:rPr>
                <w:sz w:val="20"/>
              </w:rPr>
              <w:t xml:space="preserve">1,9</w:t>
            </w:r>
          </w:p>
        </w:tc>
        <w:tc>
          <w:tcPr>
            <w:tcW w:w="797" w:type="dxa"/>
          </w:tcPr>
          <w:p>
            <w:pPr>
              <w:pStyle w:val="0"/>
              <w:jc w:val="center"/>
            </w:pPr>
            <w:r>
              <w:rPr>
                <w:sz w:val="20"/>
              </w:rPr>
              <w:t xml:space="preserve">0,4</w:t>
            </w:r>
          </w:p>
        </w:tc>
      </w:tr>
      <w:tr>
        <w:tc>
          <w:tcPr>
            <w:tcW w:w="2778" w:type="dxa"/>
          </w:tcPr>
          <w:p>
            <w:pPr>
              <w:pStyle w:val="0"/>
            </w:pPr>
            <w:r>
              <w:rPr>
                <w:sz w:val="20"/>
              </w:rPr>
              <w:t xml:space="preserve">Строительство</w:t>
            </w:r>
          </w:p>
        </w:tc>
        <w:tc>
          <w:tcPr>
            <w:tcW w:w="624" w:type="dxa"/>
          </w:tcPr>
          <w:p>
            <w:pPr>
              <w:pStyle w:val="0"/>
              <w:jc w:val="center"/>
            </w:pPr>
            <w:r>
              <w:rPr>
                <w:sz w:val="20"/>
              </w:rPr>
              <w:t xml:space="preserve">8,7</w:t>
            </w:r>
          </w:p>
        </w:tc>
        <w:tc>
          <w:tcPr>
            <w:tcW w:w="680" w:type="dxa"/>
          </w:tcPr>
          <w:p>
            <w:pPr>
              <w:pStyle w:val="0"/>
              <w:jc w:val="center"/>
            </w:pPr>
            <w:r>
              <w:rPr>
                <w:sz w:val="20"/>
              </w:rPr>
              <w:t xml:space="preserve">11,1</w:t>
            </w:r>
          </w:p>
        </w:tc>
        <w:tc>
          <w:tcPr>
            <w:tcW w:w="737" w:type="dxa"/>
          </w:tcPr>
          <w:p>
            <w:pPr>
              <w:pStyle w:val="0"/>
              <w:jc w:val="center"/>
            </w:pPr>
            <w:r>
              <w:rPr>
                <w:sz w:val="20"/>
              </w:rPr>
              <w:t xml:space="preserve">5,5</w:t>
            </w:r>
          </w:p>
        </w:tc>
        <w:tc>
          <w:tcPr>
            <w:tcW w:w="624" w:type="dxa"/>
          </w:tcPr>
          <w:p>
            <w:pPr>
              <w:pStyle w:val="0"/>
              <w:jc w:val="center"/>
            </w:pPr>
            <w:r>
              <w:rPr>
                <w:sz w:val="20"/>
              </w:rPr>
              <w:t xml:space="preserve">1,2</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20,7</w:t>
            </w:r>
          </w:p>
        </w:tc>
        <w:tc>
          <w:tcPr>
            <w:tcW w:w="624" w:type="dxa"/>
          </w:tcPr>
          <w:p>
            <w:pPr>
              <w:pStyle w:val="0"/>
              <w:jc w:val="center"/>
            </w:pPr>
            <w:r>
              <w:rPr>
                <w:sz w:val="20"/>
              </w:rPr>
              <w:t xml:space="preserve">10,1</w:t>
            </w:r>
          </w:p>
        </w:tc>
        <w:tc>
          <w:tcPr>
            <w:tcW w:w="797" w:type="dxa"/>
          </w:tcPr>
          <w:p>
            <w:pPr>
              <w:pStyle w:val="0"/>
              <w:jc w:val="center"/>
            </w:pPr>
            <w:r>
              <w:rPr>
                <w:sz w:val="20"/>
              </w:rPr>
              <w:t xml:space="preserve">4,7</w:t>
            </w:r>
          </w:p>
        </w:tc>
      </w:tr>
      <w:tr>
        <w:tc>
          <w:tcPr>
            <w:tcW w:w="2778" w:type="dxa"/>
          </w:tcPr>
          <w:p>
            <w:pPr>
              <w:pStyle w:val="0"/>
            </w:pPr>
            <w:r>
              <w:rPr>
                <w:sz w:val="20"/>
              </w:rPr>
              <w:t xml:space="preserve">Торговля оптовая и розничная; ремонт автотранспортных средств и мотоциклов</w:t>
            </w:r>
          </w:p>
        </w:tc>
        <w:tc>
          <w:tcPr>
            <w:tcW w:w="624" w:type="dxa"/>
          </w:tcPr>
          <w:p>
            <w:pPr>
              <w:pStyle w:val="0"/>
              <w:jc w:val="center"/>
            </w:pPr>
            <w:r>
              <w:rPr>
                <w:sz w:val="20"/>
              </w:rPr>
              <w:t xml:space="preserve">17,2</w:t>
            </w:r>
          </w:p>
        </w:tc>
        <w:tc>
          <w:tcPr>
            <w:tcW w:w="680" w:type="dxa"/>
          </w:tcPr>
          <w:p>
            <w:pPr>
              <w:pStyle w:val="0"/>
              <w:jc w:val="center"/>
            </w:pPr>
            <w:r>
              <w:rPr>
                <w:sz w:val="20"/>
              </w:rPr>
              <w:t xml:space="preserve">12,6</w:t>
            </w:r>
          </w:p>
        </w:tc>
        <w:tc>
          <w:tcPr>
            <w:tcW w:w="737" w:type="dxa"/>
          </w:tcPr>
          <w:p>
            <w:pPr>
              <w:pStyle w:val="0"/>
              <w:jc w:val="center"/>
            </w:pPr>
            <w:r>
              <w:rPr>
                <w:sz w:val="20"/>
              </w:rPr>
              <w:t xml:space="preserve">15,6</w:t>
            </w:r>
          </w:p>
        </w:tc>
        <w:tc>
          <w:tcPr>
            <w:tcW w:w="624" w:type="dxa"/>
          </w:tcPr>
          <w:p>
            <w:pPr>
              <w:pStyle w:val="0"/>
              <w:jc w:val="center"/>
            </w:pPr>
            <w:r>
              <w:rPr>
                <w:sz w:val="20"/>
              </w:rPr>
              <w:t xml:space="preserve">3,3</w:t>
            </w:r>
          </w:p>
        </w:tc>
        <w:tc>
          <w:tcPr>
            <w:tcW w:w="737" w:type="dxa"/>
          </w:tcPr>
          <w:p>
            <w:pPr>
              <w:pStyle w:val="0"/>
              <w:jc w:val="center"/>
            </w:pPr>
            <w:r>
              <w:rPr>
                <w:sz w:val="20"/>
              </w:rPr>
              <w:t xml:space="preserve">43,4</w:t>
            </w:r>
          </w:p>
        </w:tc>
        <w:tc>
          <w:tcPr>
            <w:tcW w:w="624" w:type="dxa"/>
          </w:tcPr>
          <w:p>
            <w:pPr>
              <w:pStyle w:val="0"/>
              <w:jc w:val="center"/>
            </w:pPr>
            <w:r>
              <w:rPr>
                <w:sz w:val="20"/>
              </w:rPr>
              <w:t xml:space="preserve">0,1</w:t>
            </w:r>
          </w:p>
        </w:tc>
        <w:tc>
          <w:tcPr>
            <w:tcW w:w="794" w:type="dxa"/>
          </w:tcPr>
          <w:p>
            <w:pPr>
              <w:pStyle w:val="0"/>
              <w:jc w:val="center"/>
            </w:pPr>
            <w:r>
              <w:rPr>
                <w:sz w:val="20"/>
              </w:rPr>
              <w:t xml:space="preserve">10,6</w:t>
            </w:r>
          </w:p>
        </w:tc>
        <w:tc>
          <w:tcPr>
            <w:tcW w:w="624" w:type="dxa"/>
          </w:tcPr>
          <w:p>
            <w:pPr>
              <w:pStyle w:val="0"/>
              <w:jc w:val="center"/>
            </w:pPr>
            <w:r>
              <w:rPr>
                <w:sz w:val="20"/>
              </w:rPr>
              <w:t xml:space="preserve">6,9</w:t>
            </w:r>
          </w:p>
        </w:tc>
        <w:tc>
          <w:tcPr>
            <w:tcW w:w="797" w:type="dxa"/>
          </w:tcPr>
          <w:p>
            <w:pPr>
              <w:pStyle w:val="0"/>
              <w:jc w:val="center"/>
            </w:pPr>
            <w:r>
              <w:rPr>
                <w:sz w:val="20"/>
              </w:rPr>
              <w:t xml:space="preserve">10,7</w:t>
            </w:r>
          </w:p>
        </w:tc>
      </w:tr>
      <w:tr>
        <w:tc>
          <w:tcPr>
            <w:tcW w:w="2778" w:type="dxa"/>
          </w:tcPr>
          <w:p>
            <w:pPr>
              <w:pStyle w:val="0"/>
            </w:pPr>
            <w:r>
              <w:rPr>
                <w:sz w:val="20"/>
              </w:rPr>
              <w:t xml:space="preserve">Транспортировка и хранение</w:t>
            </w:r>
          </w:p>
        </w:tc>
        <w:tc>
          <w:tcPr>
            <w:tcW w:w="624" w:type="dxa"/>
          </w:tcPr>
          <w:p>
            <w:pPr>
              <w:pStyle w:val="0"/>
              <w:jc w:val="center"/>
            </w:pPr>
            <w:r>
              <w:rPr>
                <w:sz w:val="20"/>
              </w:rPr>
              <w:t xml:space="preserve">2,7</w:t>
            </w:r>
          </w:p>
        </w:tc>
        <w:tc>
          <w:tcPr>
            <w:tcW w:w="680" w:type="dxa"/>
          </w:tcPr>
          <w:p>
            <w:pPr>
              <w:pStyle w:val="0"/>
              <w:jc w:val="center"/>
            </w:pPr>
            <w:r>
              <w:rPr>
                <w:sz w:val="20"/>
              </w:rPr>
              <w:t xml:space="preserve">2,7</w:t>
            </w:r>
          </w:p>
        </w:tc>
        <w:tc>
          <w:tcPr>
            <w:tcW w:w="737" w:type="dxa"/>
          </w:tcPr>
          <w:p>
            <w:pPr>
              <w:pStyle w:val="0"/>
              <w:jc w:val="center"/>
            </w:pPr>
            <w:r>
              <w:rPr>
                <w:sz w:val="20"/>
              </w:rPr>
              <w:t xml:space="preserve">2,7</w:t>
            </w:r>
          </w:p>
        </w:tc>
        <w:tc>
          <w:tcPr>
            <w:tcW w:w="624" w:type="dxa"/>
          </w:tcPr>
          <w:p>
            <w:pPr>
              <w:pStyle w:val="0"/>
              <w:jc w:val="center"/>
            </w:pPr>
            <w:r>
              <w:rPr>
                <w:sz w:val="20"/>
              </w:rPr>
              <w:t xml:space="preserve">18,7</w:t>
            </w:r>
          </w:p>
        </w:tc>
        <w:tc>
          <w:tcPr>
            <w:tcW w:w="737" w:type="dxa"/>
          </w:tcPr>
          <w:p>
            <w:pPr>
              <w:pStyle w:val="0"/>
              <w:jc w:val="center"/>
            </w:pPr>
            <w:r>
              <w:rPr>
                <w:sz w:val="20"/>
              </w:rPr>
              <w:t xml:space="preserve">4,3</w:t>
            </w:r>
          </w:p>
        </w:tc>
        <w:tc>
          <w:tcPr>
            <w:tcW w:w="624" w:type="dxa"/>
          </w:tcPr>
          <w:p>
            <w:pPr>
              <w:pStyle w:val="0"/>
              <w:jc w:val="center"/>
            </w:pPr>
            <w:r>
              <w:rPr>
                <w:sz w:val="20"/>
              </w:rPr>
              <w:t xml:space="preserve">0,0</w:t>
            </w:r>
          </w:p>
        </w:tc>
        <w:tc>
          <w:tcPr>
            <w:tcW w:w="794" w:type="dxa"/>
          </w:tcPr>
          <w:p>
            <w:pPr>
              <w:pStyle w:val="0"/>
              <w:jc w:val="center"/>
            </w:pPr>
            <w:r>
              <w:rPr>
                <w:sz w:val="20"/>
              </w:rPr>
              <w:t xml:space="preserve">6,7</w:t>
            </w:r>
          </w:p>
        </w:tc>
        <w:tc>
          <w:tcPr>
            <w:tcW w:w="624" w:type="dxa"/>
          </w:tcPr>
          <w:p>
            <w:pPr>
              <w:pStyle w:val="0"/>
              <w:jc w:val="center"/>
            </w:pPr>
            <w:r>
              <w:rPr>
                <w:sz w:val="20"/>
              </w:rPr>
              <w:t xml:space="preserve">17,6</w:t>
            </w:r>
          </w:p>
        </w:tc>
        <w:tc>
          <w:tcPr>
            <w:tcW w:w="797" w:type="dxa"/>
          </w:tcPr>
          <w:p>
            <w:pPr>
              <w:pStyle w:val="0"/>
              <w:jc w:val="center"/>
            </w:pPr>
            <w:r>
              <w:rPr>
                <w:sz w:val="20"/>
              </w:rPr>
              <w:t xml:space="preserve">3,4</w:t>
            </w:r>
          </w:p>
        </w:tc>
      </w:tr>
      <w:tr>
        <w:tc>
          <w:tcPr>
            <w:tcW w:w="2778" w:type="dxa"/>
          </w:tcPr>
          <w:p>
            <w:pPr>
              <w:pStyle w:val="0"/>
            </w:pPr>
            <w:r>
              <w:rPr>
                <w:sz w:val="20"/>
              </w:rPr>
              <w:t xml:space="preserve">Деятельность гостиниц и предприятий общественного питания</w:t>
            </w:r>
          </w:p>
        </w:tc>
        <w:tc>
          <w:tcPr>
            <w:tcW w:w="624" w:type="dxa"/>
          </w:tcPr>
          <w:p>
            <w:pPr>
              <w:pStyle w:val="0"/>
              <w:jc w:val="center"/>
            </w:pPr>
            <w:r>
              <w:rPr>
                <w:sz w:val="20"/>
              </w:rPr>
              <w:t xml:space="preserve">1,8</w:t>
            </w:r>
          </w:p>
        </w:tc>
        <w:tc>
          <w:tcPr>
            <w:tcW w:w="680" w:type="dxa"/>
          </w:tcPr>
          <w:p>
            <w:pPr>
              <w:pStyle w:val="0"/>
              <w:jc w:val="center"/>
            </w:pPr>
            <w:r>
              <w:rPr>
                <w:sz w:val="20"/>
              </w:rPr>
              <w:t xml:space="preserve">1,4</w:t>
            </w:r>
          </w:p>
        </w:tc>
        <w:tc>
          <w:tcPr>
            <w:tcW w:w="737" w:type="dxa"/>
          </w:tcPr>
          <w:p>
            <w:pPr>
              <w:pStyle w:val="0"/>
              <w:jc w:val="center"/>
            </w:pPr>
            <w:r>
              <w:rPr>
                <w:sz w:val="20"/>
              </w:rPr>
              <w:t xml:space="preserve">3,3</w:t>
            </w:r>
          </w:p>
        </w:tc>
        <w:tc>
          <w:tcPr>
            <w:tcW w:w="624" w:type="dxa"/>
          </w:tcPr>
          <w:p>
            <w:pPr>
              <w:pStyle w:val="0"/>
              <w:jc w:val="center"/>
            </w:pPr>
            <w:r>
              <w:rPr>
                <w:sz w:val="20"/>
              </w:rPr>
              <w:t xml:space="preserve">0,4</w:t>
            </w:r>
          </w:p>
        </w:tc>
        <w:tc>
          <w:tcPr>
            <w:tcW w:w="737" w:type="dxa"/>
          </w:tcPr>
          <w:p>
            <w:pPr>
              <w:pStyle w:val="0"/>
              <w:jc w:val="center"/>
            </w:pPr>
            <w:r>
              <w:rPr>
                <w:sz w:val="20"/>
              </w:rPr>
              <w:t xml:space="preserve">7,8</w:t>
            </w:r>
          </w:p>
        </w:tc>
        <w:tc>
          <w:tcPr>
            <w:tcW w:w="624" w:type="dxa"/>
          </w:tcPr>
          <w:p>
            <w:pPr>
              <w:pStyle w:val="0"/>
              <w:jc w:val="center"/>
            </w:pPr>
            <w:r>
              <w:rPr>
                <w:sz w:val="20"/>
              </w:rPr>
              <w:t xml:space="preserve">0,1</w:t>
            </w:r>
          </w:p>
        </w:tc>
        <w:tc>
          <w:tcPr>
            <w:tcW w:w="794" w:type="dxa"/>
          </w:tcPr>
          <w:p>
            <w:pPr>
              <w:pStyle w:val="0"/>
              <w:jc w:val="center"/>
            </w:pPr>
            <w:r>
              <w:rPr>
                <w:sz w:val="20"/>
              </w:rPr>
              <w:t xml:space="preserve">1,2</w:t>
            </w:r>
          </w:p>
        </w:tc>
        <w:tc>
          <w:tcPr>
            <w:tcW w:w="624" w:type="dxa"/>
          </w:tcPr>
          <w:p>
            <w:pPr>
              <w:pStyle w:val="0"/>
              <w:jc w:val="center"/>
            </w:pPr>
            <w:r>
              <w:rPr>
                <w:sz w:val="20"/>
              </w:rPr>
              <w:t xml:space="preserve">0,5</w:t>
            </w:r>
          </w:p>
        </w:tc>
        <w:tc>
          <w:tcPr>
            <w:tcW w:w="797" w:type="dxa"/>
          </w:tcPr>
          <w:p>
            <w:pPr>
              <w:pStyle w:val="0"/>
              <w:jc w:val="center"/>
            </w:pPr>
            <w:r>
              <w:rPr>
                <w:sz w:val="20"/>
              </w:rPr>
              <w:t xml:space="preserve">4,0</w:t>
            </w:r>
          </w:p>
        </w:tc>
      </w:tr>
      <w:tr>
        <w:tc>
          <w:tcPr>
            <w:tcW w:w="2778" w:type="dxa"/>
          </w:tcPr>
          <w:p>
            <w:pPr>
              <w:pStyle w:val="0"/>
            </w:pPr>
            <w:r>
              <w:rPr>
                <w:sz w:val="20"/>
              </w:rPr>
              <w:t xml:space="preserve">Деятельность в области информации и связи</w:t>
            </w:r>
          </w:p>
        </w:tc>
        <w:tc>
          <w:tcPr>
            <w:tcW w:w="624" w:type="dxa"/>
          </w:tcPr>
          <w:p>
            <w:pPr>
              <w:pStyle w:val="0"/>
              <w:jc w:val="center"/>
            </w:pPr>
            <w:r>
              <w:rPr>
                <w:sz w:val="20"/>
              </w:rPr>
              <w:t xml:space="preserve">2,2</w:t>
            </w:r>
          </w:p>
        </w:tc>
        <w:tc>
          <w:tcPr>
            <w:tcW w:w="680" w:type="dxa"/>
          </w:tcPr>
          <w:p>
            <w:pPr>
              <w:pStyle w:val="0"/>
              <w:jc w:val="center"/>
            </w:pPr>
            <w:r>
              <w:rPr>
                <w:sz w:val="20"/>
              </w:rPr>
              <w:t xml:space="preserve">7,6</w:t>
            </w:r>
          </w:p>
        </w:tc>
        <w:tc>
          <w:tcPr>
            <w:tcW w:w="737" w:type="dxa"/>
          </w:tcPr>
          <w:p>
            <w:pPr>
              <w:pStyle w:val="0"/>
              <w:jc w:val="center"/>
            </w:pPr>
            <w:r>
              <w:rPr>
                <w:sz w:val="20"/>
              </w:rPr>
              <w:t xml:space="preserve">1,4</w:t>
            </w:r>
          </w:p>
        </w:tc>
        <w:tc>
          <w:tcPr>
            <w:tcW w:w="624" w:type="dxa"/>
          </w:tcPr>
          <w:p>
            <w:pPr>
              <w:pStyle w:val="0"/>
              <w:jc w:val="center"/>
            </w:pPr>
            <w:r>
              <w:rPr>
                <w:sz w:val="20"/>
              </w:rPr>
              <w:t xml:space="preserve">1,0</w:t>
            </w:r>
          </w:p>
        </w:tc>
        <w:tc>
          <w:tcPr>
            <w:tcW w:w="737" w:type="dxa"/>
          </w:tcPr>
          <w:p>
            <w:pPr>
              <w:pStyle w:val="0"/>
              <w:jc w:val="center"/>
            </w:pPr>
            <w:r>
              <w:rPr>
                <w:sz w:val="20"/>
              </w:rPr>
              <w:t xml:space="preserve">0,6</w:t>
            </w:r>
          </w:p>
        </w:tc>
        <w:tc>
          <w:tcPr>
            <w:tcW w:w="624" w:type="dxa"/>
          </w:tcPr>
          <w:p>
            <w:pPr>
              <w:pStyle w:val="0"/>
              <w:jc w:val="center"/>
            </w:pPr>
            <w:r>
              <w:rPr>
                <w:sz w:val="20"/>
              </w:rPr>
              <w:t xml:space="preserve">0,0</w:t>
            </w:r>
          </w:p>
        </w:tc>
        <w:tc>
          <w:tcPr>
            <w:tcW w:w="794" w:type="dxa"/>
          </w:tcPr>
          <w:p>
            <w:pPr>
              <w:pStyle w:val="0"/>
              <w:jc w:val="center"/>
            </w:pPr>
            <w:r>
              <w:rPr>
                <w:sz w:val="20"/>
              </w:rPr>
              <w:t xml:space="preserve">1,0</w:t>
            </w:r>
          </w:p>
        </w:tc>
        <w:tc>
          <w:tcPr>
            <w:tcW w:w="624" w:type="dxa"/>
          </w:tcPr>
          <w:p>
            <w:pPr>
              <w:pStyle w:val="0"/>
              <w:jc w:val="center"/>
            </w:pPr>
            <w:r>
              <w:rPr>
                <w:sz w:val="20"/>
              </w:rPr>
              <w:t xml:space="preserve">0,2</w:t>
            </w:r>
          </w:p>
        </w:tc>
        <w:tc>
          <w:tcPr>
            <w:tcW w:w="797" w:type="dxa"/>
          </w:tcPr>
          <w:p>
            <w:pPr>
              <w:pStyle w:val="0"/>
              <w:jc w:val="center"/>
            </w:pPr>
            <w:r>
              <w:rPr>
                <w:sz w:val="20"/>
              </w:rPr>
              <w:t xml:space="preserve">0,1</w:t>
            </w:r>
          </w:p>
        </w:tc>
      </w:tr>
      <w:tr>
        <w:tc>
          <w:tcPr>
            <w:tcW w:w="2778" w:type="dxa"/>
          </w:tcPr>
          <w:p>
            <w:pPr>
              <w:pStyle w:val="0"/>
            </w:pPr>
            <w:r>
              <w:rPr>
                <w:sz w:val="20"/>
              </w:rPr>
              <w:t xml:space="preserve">Деятельность финансовая и страховая</w:t>
            </w:r>
          </w:p>
        </w:tc>
        <w:tc>
          <w:tcPr>
            <w:tcW w:w="624" w:type="dxa"/>
          </w:tcPr>
          <w:p>
            <w:pPr>
              <w:pStyle w:val="0"/>
              <w:jc w:val="center"/>
            </w:pPr>
            <w:r>
              <w:rPr>
                <w:sz w:val="20"/>
              </w:rPr>
              <w:t xml:space="preserve">1,5</w:t>
            </w:r>
          </w:p>
        </w:tc>
        <w:tc>
          <w:tcPr>
            <w:tcW w:w="680" w:type="dxa"/>
          </w:tcPr>
          <w:p>
            <w:pPr>
              <w:pStyle w:val="0"/>
              <w:jc w:val="center"/>
            </w:pPr>
            <w:r>
              <w:rPr>
                <w:sz w:val="20"/>
              </w:rPr>
              <w:t xml:space="preserve">3,7</w:t>
            </w:r>
          </w:p>
        </w:tc>
        <w:tc>
          <w:tcPr>
            <w:tcW w:w="737" w:type="dxa"/>
          </w:tcPr>
          <w:p>
            <w:pPr>
              <w:pStyle w:val="0"/>
              <w:jc w:val="center"/>
            </w:pPr>
            <w:r>
              <w:rPr>
                <w:sz w:val="20"/>
              </w:rPr>
              <w:t xml:space="preserve">3,2</w:t>
            </w:r>
          </w:p>
        </w:tc>
        <w:tc>
          <w:tcPr>
            <w:tcW w:w="624" w:type="dxa"/>
          </w:tcPr>
          <w:p>
            <w:pPr>
              <w:pStyle w:val="0"/>
              <w:jc w:val="center"/>
            </w:pPr>
            <w:r>
              <w:rPr>
                <w:sz w:val="20"/>
              </w:rPr>
              <w:t xml:space="preserve">0,4</w:t>
            </w:r>
          </w:p>
        </w:tc>
        <w:tc>
          <w:tcPr>
            <w:tcW w:w="737" w:type="dxa"/>
          </w:tcPr>
          <w:p>
            <w:pPr>
              <w:pStyle w:val="0"/>
              <w:jc w:val="center"/>
            </w:pPr>
            <w:r>
              <w:rPr>
                <w:sz w:val="20"/>
              </w:rPr>
              <w:t xml:space="preserve">0,1</w:t>
            </w:r>
          </w:p>
        </w:tc>
        <w:tc>
          <w:tcPr>
            <w:tcW w:w="624" w:type="dxa"/>
          </w:tcPr>
          <w:p>
            <w:pPr>
              <w:pStyle w:val="0"/>
              <w:jc w:val="center"/>
            </w:pPr>
            <w:r>
              <w:rPr>
                <w:sz w:val="20"/>
              </w:rPr>
              <w:t xml:space="preserve">0,0</w:t>
            </w:r>
          </w:p>
        </w:tc>
        <w:tc>
          <w:tcPr>
            <w:tcW w:w="794" w:type="dxa"/>
          </w:tcPr>
          <w:p>
            <w:pPr>
              <w:pStyle w:val="0"/>
              <w:jc w:val="center"/>
            </w:pPr>
            <w:r>
              <w:rPr>
                <w:sz w:val="20"/>
              </w:rPr>
              <w:t xml:space="preserve">0,1</w:t>
            </w:r>
          </w:p>
        </w:tc>
        <w:tc>
          <w:tcPr>
            <w:tcW w:w="624" w:type="dxa"/>
          </w:tcPr>
          <w:p>
            <w:pPr>
              <w:pStyle w:val="0"/>
              <w:jc w:val="center"/>
            </w:pPr>
            <w:r>
              <w:rPr>
                <w:sz w:val="20"/>
              </w:rPr>
              <w:t xml:space="preserve">0,1</w:t>
            </w:r>
          </w:p>
        </w:tc>
        <w:tc>
          <w:tcPr>
            <w:tcW w:w="797" w:type="dxa"/>
          </w:tcPr>
          <w:p>
            <w:pPr>
              <w:pStyle w:val="0"/>
              <w:jc w:val="center"/>
            </w:pPr>
            <w:r>
              <w:rPr>
                <w:sz w:val="20"/>
              </w:rPr>
              <w:t xml:space="preserve">0,2</w:t>
            </w:r>
          </w:p>
        </w:tc>
      </w:tr>
      <w:tr>
        <w:tc>
          <w:tcPr>
            <w:tcW w:w="2778" w:type="dxa"/>
          </w:tcPr>
          <w:p>
            <w:pPr>
              <w:pStyle w:val="0"/>
            </w:pPr>
            <w:r>
              <w:rPr>
                <w:sz w:val="20"/>
              </w:rPr>
              <w:t xml:space="preserve">Деятельность по операциям с недвижимым имуществом</w:t>
            </w:r>
          </w:p>
        </w:tc>
        <w:tc>
          <w:tcPr>
            <w:tcW w:w="624" w:type="dxa"/>
          </w:tcPr>
          <w:p>
            <w:pPr>
              <w:pStyle w:val="0"/>
              <w:jc w:val="center"/>
            </w:pPr>
            <w:r>
              <w:rPr>
                <w:sz w:val="20"/>
              </w:rPr>
              <w:t xml:space="preserve">2,3</w:t>
            </w:r>
          </w:p>
        </w:tc>
        <w:tc>
          <w:tcPr>
            <w:tcW w:w="680" w:type="dxa"/>
          </w:tcPr>
          <w:p>
            <w:pPr>
              <w:pStyle w:val="0"/>
              <w:jc w:val="center"/>
            </w:pPr>
            <w:r>
              <w:rPr>
                <w:sz w:val="20"/>
              </w:rPr>
              <w:t xml:space="preserve">2,4</w:t>
            </w:r>
          </w:p>
        </w:tc>
        <w:tc>
          <w:tcPr>
            <w:tcW w:w="737" w:type="dxa"/>
          </w:tcPr>
          <w:p>
            <w:pPr>
              <w:pStyle w:val="0"/>
              <w:jc w:val="center"/>
            </w:pPr>
            <w:r>
              <w:rPr>
                <w:sz w:val="20"/>
              </w:rPr>
              <w:t xml:space="preserve">1,8</w:t>
            </w:r>
          </w:p>
        </w:tc>
        <w:tc>
          <w:tcPr>
            <w:tcW w:w="624" w:type="dxa"/>
          </w:tcPr>
          <w:p>
            <w:pPr>
              <w:pStyle w:val="0"/>
              <w:jc w:val="center"/>
            </w:pPr>
            <w:r>
              <w:rPr>
                <w:sz w:val="20"/>
              </w:rPr>
              <w:t xml:space="preserve">0,9</w:t>
            </w:r>
          </w:p>
        </w:tc>
        <w:tc>
          <w:tcPr>
            <w:tcW w:w="737" w:type="dxa"/>
          </w:tcPr>
          <w:p>
            <w:pPr>
              <w:pStyle w:val="0"/>
              <w:jc w:val="center"/>
            </w:pPr>
            <w:r>
              <w:rPr>
                <w:sz w:val="20"/>
              </w:rPr>
              <w:t xml:space="preserve">1,3</w:t>
            </w:r>
          </w:p>
        </w:tc>
        <w:tc>
          <w:tcPr>
            <w:tcW w:w="624" w:type="dxa"/>
          </w:tcPr>
          <w:p>
            <w:pPr>
              <w:pStyle w:val="0"/>
              <w:jc w:val="center"/>
            </w:pPr>
            <w:r>
              <w:rPr>
                <w:sz w:val="20"/>
              </w:rPr>
              <w:t xml:space="preserve">0,0</w:t>
            </w:r>
          </w:p>
        </w:tc>
        <w:tc>
          <w:tcPr>
            <w:tcW w:w="794" w:type="dxa"/>
          </w:tcPr>
          <w:p>
            <w:pPr>
              <w:pStyle w:val="0"/>
              <w:jc w:val="center"/>
            </w:pPr>
            <w:r>
              <w:rPr>
                <w:sz w:val="20"/>
              </w:rPr>
              <w:t xml:space="preserve">4,4</w:t>
            </w:r>
          </w:p>
        </w:tc>
        <w:tc>
          <w:tcPr>
            <w:tcW w:w="624" w:type="dxa"/>
          </w:tcPr>
          <w:p>
            <w:pPr>
              <w:pStyle w:val="0"/>
              <w:jc w:val="center"/>
            </w:pPr>
            <w:r>
              <w:rPr>
                <w:sz w:val="20"/>
              </w:rPr>
              <w:t xml:space="preserve">1,2</w:t>
            </w:r>
          </w:p>
        </w:tc>
        <w:tc>
          <w:tcPr>
            <w:tcW w:w="797" w:type="dxa"/>
          </w:tcPr>
          <w:p>
            <w:pPr>
              <w:pStyle w:val="0"/>
              <w:jc w:val="center"/>
            </w:pPr>
            <w:r>
              <w:rPr>
                <w:sz w:val="20"/>
              </w:rPr>
              <w:t xml:space="preserve">3,2</w:t>
            </w:r>
          </w:p>
        </w:tc>
      </w:tr>
      <w:tr>
        <w:tc>
          <w:tcPr>
            <w:tcW w:w="2778" w:type="dxa"/>
          </w:tcPr>
          <w:p>
            <w:pPr>
              <w:pStyle w:val="0"/>
            </w:pPr>
            <w:r>
              <w:rPr>
                <w:sz w:val="20"/>
              </w:rPr>
              <w:t xml:space="preserve">Деятельность профессиональная, научная и техническая</w:t>
            </w:r>
          </w:p>
        </w:tc>
        <w:tc>
          <w:tcPr>
            <w:tcW w:w="624" w:type="dxa"/>
          </w:tcPr>
          <w:p>
            <w:pPr>
              <w:pStyle w:val="0"/>
              <w:jc w:val="center"/>
            </w:pPr>
            <w:r>
              <w:rPr>
                <w:sz w:val="20"/>
              </w:rPr>
              <w:t xml:space="preserve">2,8</w:t>
            </w:r>
          </w:p>
        </w:tc>
        <w:tc>
          <w:tcPr>
            <w:tcW w:w="680" w:type="dxa"/>
          </w:tcPr>
          <w:p>
            <w:pPr>
              <w:pStyle w:val="0"/>
              <w:jc w:val="center"/>
            </w:pPr>
            <w:r>
              <w:rPr>
                <w:sz w:val="20"/>
              </w:rPr>
              <w:t xml:space="preserve">10,8</w:t>
            </w:r>
          </w:p>
        </w:tc>
        <w:tc>
          <w:tcPr>
            <w:tcW w:w="737" w:type="dxa"/>
          </w:tcPr>
          <w:p>
            <w:pPr>
              <w:pStyle w:val="0"/>
              <w:jc w:val="center"/>
            </w:pPr>
            <w:r>
              <w:rPr>
                <w:sz w:val="20"/>
              </w:rPr>
              <w:t xml:space="preserve">2,0</w:t>
            </w:r>
          </w:p>
        </w:tc>
        <w:tc>
          <w:tcPr>
            <w:tcW w:w="624" w:type="dxa"/>
          </w:tcPr>
          <w:p>
            <w:pPr>
              <w:pStyle w:val="0"/>
              <w:jc w:val="center"/>
            </w:pPr>
            <w:r>
              <w:rPr>
                <w:sz w:val="20"/>
              </w:rPr>
              <w:t xml:space="preserve">0,5</w:t>
            </w:r>
          </w:p>
        </w:tc>
        <w:tc>
          <w:tcPr>
            <w:tcW w:w="737" w:type="dxa"/>
          </w:tcPr>
          <w:p>
            <w:pPr>
              <w:pStyle w:val="0"/>
              <w:jc w:val="center"/>
            </w:pPr>
            <w:r>
              <w:rPr>
                <w:sz w:val="20"/>
              </w:rPr>
              <w:t xml:space="preserve">0,3</w:t>
            </w:r>
          </w:p>
        </w:tc>
        <w:tc>
          <w:tcPr>
            <w:tcW w:w="624" w:type="dxa"/>
          </w:tcPr>
          <w:p>
            <w:pPr>
              <w:pStyle w:val="0"/>
              <w:jc w:val="center"/>
            </w:pPr>
            <w:r>
              <w:rPr>
                <w:sz w:val="20"/>
              </w:rPr>
              <w:t xml:space="preserve">0,0</w:t>
            </w:r>
          </w:p>
        </w:tc>
        <w:tc>
          <w:tcPr>
            <w:tcW w:w="794" w:type="dxa"/>
          </w:tcPr>
          <w:p>
            <w:pPr>
              <w:pStyle w:val="0"/>
              <w:jc w:val="center"/>
            </w:pPr>
            <w:r>
              <w:rPr>
                <w:sz w:val="20"/>
              </w:rPr>
              <w:t xml:space="preserve">1,2</w:t>
            </w:r>
          </w:p>
        </w:tc>
        <w:tc>
          <w:tcPr>
            <w:tcW w:w="624" w:type="dxa"/>
          </w:tcPr>
          <w:p>
            <w:pPr>
              <w:pStyle w:val="0"/>
              <w:jc w:val="center"/>
            </w:pPr>
            <w:r>
              <w:rPr>
                <w:sz w:val="20"/>
              </w:rPr>
              <w:t xml:space="preserve">0,5</w:t>
            </w:r>
          </w:p>
        </w:tc>
        <w:tc>
          <w:tcPr>
            <w:tcW w:w="797" w:type="dxa"/>
          </w:tcPr>
          <w:p>
            <w:pPr>
              <w:pStyle w:val="0"/>
              <w:jc w:val="center"/>
            </w:pPr>
            <w:r>
              <w:rPr>
                <w:sz w:val="20"/>
              </w:rPr>
              <w:t xml:space="preserve">0,9</w:t>
            </w:r>
          </w:p>
        </w:tc>
      </w:tr>
      <w:tr>
        <w:tc>
          <w:tcPr>
            <w:tcW w:w="2778" w:type="dxa"/>
          </w:tcPr>
          <w:p>
            <w:pPr>
              <w:pStyle w:val="0"/>
            </w:pPr>
            <w:r>
              <w:rPr>
                <w:sz w:val="20"/>
              </w:rPr>
              <w:t xml:space="preserve">Деятельность административная и сопутствующие дополнительные услуги</w:t>
            </w:r>
          </w:p>
        </w:tc>
        <w:tc>
          <w:tcPr>
            <w:tcW w:w="624" w:type="dxa"/>
          </w:tcPr>
          <w:p>
            <w:pPr>
              <w:pStyle w:val="0"/>
              <w:jc w:val="center"/>
            </w:pPr>
            <w:r>
              <w:rPr>
                <w:sz w:val="20"/>
              </w:rPr>
              <w:t xml:space="preserve">1,8</w:t>
            </w:r>
          </w:p>
        </w:tc>
        <w:tc>
          <w:tcPr>
            <w:tcW w:w="680" w:type="dxa"/>
          </w:tcPr>
          <w:p>
            <w:pPr>
              <w:pStyle w:val="0"/>
              <w:jc w:val="center"/>
            </w:pPr>
            <w:r>
              <w:rPr>
                <w:sz w:val="20"/>
              </w:rPr>
              <w:t xml:space="preserve">1,3</w:t>
            </w:r>
          </w:p>
        </w:tc>
        <w:tc>
          <w:tcPr>
            <w:tcW w:w="737" w:type="dxa"/>
          </w:tcPr>
          <w:p>
            <w:pPr>
              <w:pStyle w:val="0"/>
              <w:jc w:val="center"/>
            </w:pPr>
            <w:r>
              <w:rPr>
                <w:sz w:val="20"/>
              </w:rPr>
              <w:t xml:space="preserve">0,9</w:t>
            </w:r>
          </w:p>
        </w:tc>
        <w:tc>
          <w:tcPr>
            <w:tcW w:w="624" w:type="dxa"/>
          </w:tcPr>
          <w:p>
            <w:pPr>
              <w:pStyle w:val="0"/>
              <w:jc w:val="center"/>
            </w:pPr>
            <w:r>
              <w:rPr>
                <w:sz w:val="20"/>
              </w:rPr>
              <w:t xml:space="preserve">0,4</w:t>
            </w:r>
          </w:p>
        </w:tc>
        <w:tc>
          <w:tcPr>
            <w:tcW w:w="737" w:type="dxa"/>
          </w:tcPr>
          <w:p>
            <w:pPr>
              <w:pStyle w:val="0"/>
              <w:jc w:val="center"/>
            </w:pPr>
            <w:r>
              <w:rPr>
                <w:sz w:val="20"/>
              </w:rPr>
              <w:t xml:space="preserve">10,2</w:t>
            </w:r>
          </w:p>
        </w:tc>
        <w:tc>
          <w:tcPr>
            <w:tcW w:w="624" w:type="dxa"/>
          </w:tcPr>
          <w:p>
            <w:pPr>
              <w:pStyle w:val="0"/>
              <w:jc w:val="center"/>
            </w:pPr>
            <w:r>
              <w:rPr>
                <w:sz w:val="20"/>
              </w:rPr>
              <w:t xml:space="preserve">0,1</w:t>
            </w:r>
          </w:p>
        </w:tc>
        <w:tc>
          <w:tcPr>
            <w:tcW w:w="794" w:type="dxa"/>
          </w:tcPr>
          <w:p>
            <w:pPr>
              <w:pStyle w:val="0"/>
              <w:jc w:val="center"/>
            </w:pPr>
            <w:r>
              <w:rPr>
                <w:sz w:val="20"/>
              </w:rPr>
              <w:t xml:space="preserve">0,6</w:t>
            </w:r>
          </w:p>
        </w:tc>
        <w:tc>
          <w:tcPr>
            <w:tcW w:w="624" w:type="dxa"/>
          </w:tcPr>
          <w:p>
            <w:pPr>
              <w:pStyle w:val="0"/>
              <w:jc w:val="center"/>
            </w:pPr>
            <w:r>
              <w:rPr>
                <w:sz w:val="20"/>
              </w:rPr>
              <w:t xml:space="preserve">1,3</w:t>
            </w:r>
          </w:p>
        </w:tc>
        <w:tc>
          <w:tcPr>
            <w:tcW w:w="797" w:type="dxa"/>
          </w:tcPr>
          <w:p>
            <w:pPr>
              <w:pStyle w:val="0"/>
              <w:jc w:val="center"/>
            </w:pPr>
            <w:r>
              <w:rPr>
                <w:sz w:val="20"/>
              </w:rPr>
              <w:t xml:space="preserve">2,3</w:t>
            </w:r>
          </w:p>
        </w:tc>
      </w:tr>
      <w:tr>
        <w:tc>
          <w:tcPr>
            <w:tcW w:w="2778" w:type="dxa"/>
          </w:tcPr>
          <w:p>
            <w:pPr>
              <w:pStyle w:val="0"/>
            </w:pPr>
            <w:r>
              <w:rPr>
                <w:sz w:val="20"/>
              </w:rPr>
              <w:t xml:space="preserve">Госуправление и обеспечение военной безопасности; соцобеспечение</w:t>
            </w:r>
          </w:p>
        </w:tc>
        <w:tc>
          <w:tcPr>
            <w:tcW w:w="624" w:type="dxa"/>
          </w:tcPr>
          <w:p>
            <w:pPr>
              <w:pStyle w:val="0"/>
              <w:jc w:val="center"/>
            </w:pPr>
            <w:r>
              <w:rPr>
                <w:sz w:val="20"/>
              </w:rPr>
              <w:t xml:space="preserve">4,0</w:t>
            </w:r>
          </w:p>
        </w:tc>
        <w:tc>
          <w:tcPr>
            <w:tcW w:w="680" w:type="dxa"/>
          </w:tcPr>
          <w:p>
            <w:pPr>
              <w:pStyle w:val="0"/>
              <w:jc w:val="center"/>
            </w:pPr>
            <w:r>
              <w:rPr>
                <w:sz w:val="20"/>
              </w:rPr>
              <w:t xml:space="preserve">12,6</w:t>
            </w:r>
          </w:p>
        </w:tc>
        <w:tc>
          <w:tcPr>
            <w:tcW w:w="737" w:type="dxa"/>
          </w:tcPr>
          <w:p>
            <w:pPr>
              <w:pStyle w:val="0"/>
              <w:jc w:val="center"/>
            </w:pPr>
            <w:r>
              <w:rPr>
                <w:sz w:val="20"/>
              </w:rPr>
              <w:t xml:space="preserve">6,5</w:t>
            </w:r>
          </w:p>
        </w:tc>
        <w:tc>
          <w:tcPr>
            <w:tcW w:w="624" w:type="dxa"/>
          </w:tcPr>
          <w:p>
            <w:pPr>
              <w:pStyle w:val="0"/>
              <w:jc w:val="center"/>
            </w:pPr>
            <w:r>
              <w:rPr>
                <w:sz w:val="20"/>
              </w:rPr>
              <w:t xml:space="preserve">1,3</w:t>
            </w:r>
          </w:p>
        </w:tc>
        <w:tc>
          <w:tcPr>
            <w:tcW w:w="737" w:type="dxa"/>
          </w:tcPr>
          <w:p>
            <w:pPr>
              <w:pStyle w:val="0"/>
              <w:jc w:val="center"/>
            </w:pPr>
            <w:r>
              <w:rPr>
                <w:sz w:val="20"/>
              </w:rPr>
              <w:t xml:space="preserve">3,5</w:t>
            </w:r>
          </w:p>
        </w:tc>
        <w:tc>
          <w:tcPr>
            <w:tcW w:w="624" w:type="dxa"/>
          </w:tcPr>
          <w:p>
            <w:pPr>
              <w:pStyle w:val="0"/>
              <w:jc w:val="center"/>
            </w:pPr>
            <w:r>
              <w:rPr>
                <w:sz w:val="20"/>
              </w:rPr>
              <w:t xml:space="preserve">0,0</w:t>
            </w:r>
          </w:p>
        </w:tc>
        <w:tc>
          <w:tcPr>
            <w:tcW w:w="794" w:type="dxa"/>
          </w:tcPr>
          <w:p>
            <w:pPr>
              <w:pStyle w:val="0"/>
              <w:jc w:val="center"/>
            </w:pPr>
            <w:r>
              <w:rPr>
                <w:sz w:val="20"/>
              </w:rPr>
              <w:t xml:space="preserve">0,3</w:t>
            </w:r>
          </w:p>
        </w:tc>
        <w:tc>
          <w:tcPr>
            <w:tcW w:w="624" w:type="dxa"/>
          </w:tcPr>
          <w:p>
            <w:pPr>
              <w:pStyle w:val="0"/>
              <w:jc w:val="center"/>
            </w:pPr>
            <w:r>
              <w:rPr>
                <w:sz w:val="20"/>
              </w:rPr>
              <w:t xml:space="preserve">1,2</w:t>
            </w:r>
          </w:p>
        </w:tc>
        <w:tc>
          <w:tcPr>
            <w:tcW w:w="797" w:type="dxa"/>
          </w:tcPr>
          <w:p>
            <w:pPr>
              <w:pStyle w:val="0"/>
              <w:jc w:val="center"/>
            </w:pPr>
            <w:r>
              <w:rPr>
                <w:sz w:val="20"/>
              </w:rPr>
              <w:t xml:space="preserve">0,6</w:t>
            </w:r>
          </w:p>
        </w:tc>
      </w:tr>
      <w:tr>
        <w:tc>
          <w:tcPr>
            <w:tcW w:w="2778" w:type="dxa"/>
          </w:tcPr>
          <w:p>
            <w:pPr>
              <w:pStyle w:val="0"/>
            </w:pPr>
            <w:r>
              <w:rPr>
                <w:sz w:val="20"/>
              </w:rPr>
              <w:t xml:space="preserve">Образование</w:t>
            </w:r>
          </w:p>
        </w:tc>
        <w:tc>
          <w:tcPr>
            <w:tcW w:w="624" w:type="dxa"/>
          </w:tcPr>
          <w:p>
            <w:pPr>
              <w:pStyle w:val="0"/>
              <w:jc w:val="center"/>
            </w:pPr>
            <w:r>
              <w:rPr>
                <w:sz w:val="20"/>
              </w:rPr>
              <w:t xml:space="preserve">4,6</w:t>
            </w:r>
          </w:p>
        </w:tc>
        <w:tc>
          <w:tcPr>
            <w:tcW w:w="680" w:type="dxa"/>
          </w:tcPr>
          <w:p>
            <w:pPr>
              <w:pStyle w:val="0"/>
              <w:jc w:val="center"/>
            </w:pPr>
            <w:r>
              <w:rPr>
                <w:sz w:val="20"/>
              </w:rPr>
              <w:t xml:space="preserve">26,1</w:t>
            </w:r>
          </w:p>
        </w:tc>
        <w:tc>
          <w:tcPr>
            <w:tcW w:w="737" w:type="dxa"/>
          </w:tcPr>
          <w:p>
            <w:pPr>
              <w:pStyle w:val="0"/>
              <w:jc w:val="center"/>
            </w:pPr>
            <w:r>
              <w:rPr>
                <w:sz w:val="20"/>
              </w:rPr>
              <w:t xml:space="preserve">1,4</w:t>
            </w:r>
          </w:p>
        </w:tc>
        <w:tc>
          <w:tcPr>
            <w:tcW w:w="624" w:type="dxa"/>
          </w:tcPr>
          <w:p>
            <w:pPr>
              <w:pStyle w:val="0"/>
              <w:jc w:val="center"/>
            </w:pPr>
            <w:r>
              <w:rPr>
                <w:sz w:val="20"/>
              </w:rPr>
              <w:t xml:space="preserve">1,8</w:t>
            </w:r>
          </w:p>
        </w:tc>
        <w:tc>
          <w:tcPr>
            <w:tcW w:w="737" w:type="dxa"/>
          </w:tcPr>
          <w:p>
            <w:pPr>
              <w:pStyle w:val="0"/>
              <w:jc w:val="center"/>
            </w:pPr>
            <w:r>
              <w:rPr>
                <w:sz w:val="20"/>
              </w:rPr>
              <w:t xml:space="preserve">6,1</w:t>
            </w:r>
          </w:p>
        </w:tc>
        <w:tc>
          <w:tcPr>
            <w:tcW w:w="624" w:type="dxa"/>
          </w:tcPr>
          <w:p>
            <w:pPr>
              <w:pStyle w:val="0"/>
              <w:jc w:val="center"/>
            </w:pPr>
            <w:r>
              <w:rPr>
                <w:sz w:val="20"/>
              </w:rPr>
              <w:t xml:space="preserve">0,0</w:t>
            </w:r>
          </w:p>
        </w:tc>
        <w:tc>
          <w:tcPr>
            <w:tcW w:w="794" w:type="dxa"/>
          </w:tcPr>
          <w:p>
            <w:pPr>
              <w:pStyle w:val="0"/>
              <w:jc w:val="center"/>
            </w:pPr>
            <w:r>
              <w:rPr>
                <w:sz w:val="20"/>
              </w:rPr>
              <w:t xml:space="preserve">0,6</w:t>
            </w:r>
          </w:p>
        </w:tc>
        <w:tc>
          <w:tcPr>
            <w:tcW w:w="624" w:type="dxa"/>
          </w:tcPr>
          <w:p>
            <w:pPr>
              <w:pStyle w:val="0"/>
              <w:jc w:val="center"/>
            </w:pPr>
            <w:r>
              <w:rPr>
                <w:sz w:val="20"/>
              </w:rPr>
              <w:t xml:space="preserve">0,9</w:t>
            </w:r>
          </w:p>
        </w:tc>
        <w:tc>
          <w:tcPr>
            <w:tcW w:w="797" w:type="dxa"/>
          </w:tcPr>
          <w:p>
            <w:pPr>
              <w:pStyle w:val="0"/>
              <w:jc w:val="center"/>
            </w:pPr>
            <w:r>
              <w:rPr>
                <w:sz w:val="20"/>
              </w:rPr>
              <w:t xml:space="preserve">5,8</w:t>
            </w:r>
          </w:p>
        </w:tc>
      </w:tr>
      <w:tr>
        <w:tc>
          <w:tcPr>
            <w:tcW w:w="2778" w:type="dxa"/>
          </w:tcPr>
          <w:p>
            <w:pPr>
              <w:pStyle w:val="0"/>
            </w:pPr>
            <w:r>
              <w:rPr>
                <w:sz w:val="20"/>
              </w:rPr>
              <w:t xml:space="preserve">Деятельность в области здравоохранения и социальных услуг</w:t>
            </w:r>
          </w:p>
        </w:tc>
        <w:tc>
          <w:tcPr>
            <w:tcW w:w="624" w:type="dxa"/>
          </w:tcPr>
          <w:p>
            <w:pPr>
              <w:pStyle w:val="0"/>
              <w:jc w:val="center"/>
            </w:pPr>
            <w:r>
              <w:rPr>
                <w:sz w:val="20"/>
              </w:rPr>
              <w:t xml:space="preserve">2,1</w:t>
            </w:r>
          </w:p>
        </w:tc>
        <w:tc>
          <w:tcPr>
            <w:tcW w:w="680" w:type="dxa"/>
          </w:tcPr>
          <w:p>
            <w:pPr>
              <w:pStyle w:val="0"/>
              <w:jc w:val="center"/>
            </w:pPr>
            <w:r>
              <w:rPr>
                <w:sz w:val="20"/>
              </w:rPr>
              <w:t xml:space="preserve">11,8</w:t>
            </w:r>
          </w:p>
        </w:tc>
        <w:tc>
          <w:tcPr>
            <w:tcW w:w="737" w:type="dxa"/>
          </w:tcPr>
          <w:p>
            <w:pPr>
              <w:pStyle w:val="0"/>
              <w:jc w:val="center"/>
            </w:pPr>
            <w:r>
              <w:rPr>
                <w:sz w:val="20"/>
              </w:rPr>
              <w:t xml:space="preserve">17,5</w:t>
            </w:r>
          </w:p>
        </w:tc>
        <w:tc>
          <w:tcPr>
            <w:tcW w:w="624" w:type="dxa"/>
          </w:tcPr>
          <w:p>
            <w:pPr>
              <w:pStyle w:val="0"/>
              <w:jc w:val="center"/>
            </w:pPr>
            <w:r>
              <w:rPr>
                <w:sz w:val="20"/>
              </w:rPr>
              <w:t xml:space="preserve">0,6</w:t>
            </w:r>
          </w:p>
        </w:tc>
        <w:tc>
          <w:tcPr>
            <w:tcW w:w="737" w:type="dxa"/>
          </w:tcPr>
          <w:p>
            <w:pPr>
              <w:pStyle w:val="0"/>
              <w:jc w:val="center"/>
            </w:pPr>
            <w:r>
              <w:rPr>
                <w:sz w:val="20"/>
              </w:rPr>
              <w:t xml:space="preserve">4,6</w:t>
            </w:r>
          </w:p>
        </w:tc>
        <w:tc>
          <w:tcPr>
            <w:tcW w:w="624" w:type="dxa"/>
          </w:tcPr>
          <w:p>
            <w:pPr>
              <w:pStyle w:val="0"/>
              <w:jc w:val="center"/>
            </w:pPr>
            <w:r>
              <w:rPr>
                <w:sz w:val="20"/>
              </w:rPr>
              <w:t xml:space="preserve">0,0</w:t>
            </w:r>
          </w:p>
        </w:tc>
        <w:tc>
          <w:tcPr>
            <w:tcW w:w="794" w:type="dxa"/>
          </w:tcPr>
          <w:p>
            <w:pPr>
              <w:pStyle w:val="0"/>
              <w:jc w:val="center"/>
            </w:pPr>
            <w:r>
              <w:rPr>
                <w:sz w:val="20"/>
              </w:rPr>
              <w:t xml:space="preserve">0,6</w:t>
            </w:r>
          </w:p>
        </w:tc>
        <w:tc>
          <w:tcPr>
            <w:tcW w:w="624" w:type="dxa"/>
          </w:tcPr>
          <w:p>
            <w:pPr>
              <w:pStyle w:val="0"/>
              <w:jc w:val="center"/>
            </w:pPr>
            <w:r>
              <w:rPr>
                <w:sz w:val="20"/>
              </w:rPr>
              <w:t xml:space="preserve">1,5</w:t>
            </w:r>
          </w:p>
        </w:tc>
        <w:tc>
          <w:tcPr>
            <w:tcW w:w="797" w:type="dxa"/>
          </w:tcPr>
          <w:p>
            <w:pPr>
              <w:pStyle w:val="0"/>
              <w:jc w:val="center"/>
            </w:pPr>
            <w:r>
              <w:rPr>
                <w:sz w:val="20"/>
              </w:rPr>
              <w:t xml:space="preserve">3,4</w:t>
            </w:r>
          </w:p>
        </w:tc>
      </w:tr>
      <w:tr>
        <w:tc>
          <w:tcPr>
            <w:tcW w:w="2778" w:type="dxa"/>
          </w:tcPr>
          <w:p>
            <w:pPr>
              <w:pStyle w:val="0"/>
            </w:pPr>
            <w:r>
              <w:rPr>
                <w:sz w:val="20"/>
              </w:rPr>
              <w:t xml:space="preserve">Деятельность в области культуры, спорта, организации досуга и пр.</w:t>
            </w:r>
          </w:p>
        </w:tc>
        <w:tc>
          <w:tcPr>
            <w:tcW w:w="624" w:type="dxa"/>
          </w:tcPr>
          <w:p>
            <w:pPr>
              <w:pStyle w:val="0"/>
              <w:jc w:val="center"/>
            </w:pPr>
            <w:r>
              <w:rPr>
                <w:sz w:val="20"/>
              </w:rPr>
              <w:t xml:space="preserve">1,5</w:t>
            </w:r>
          </w:p>
        </w:tc>
        <w:tc>
          <w:tcPr>
            <w:tcW w:w="680" w:type="dxa"/>
          </w:tcPr>
          <w:p>
            <w:pPr>
              <w:pStyle w:val="0"/>
              <w:jc w:val="center"/>
            </w:pPr>
            <w:r>
              <w:rPr>
                <w:sz w:val="20"/>
              </w:rPr>
              <w:t xml:space="preserve">4,3</w:t>
            </w:r>
          </w:p>
        </w:tc>
        <w:tc>
          <w:tcPr>
            <w:tcW w:w="737" w:type="dxa"/>
          </w:tcPr>
          <w:p>
            <w:pPr>
              <w:pStyle w:val="0"/>
              <w:jc w:val="center"/>
            </w:pPr>
            <w:r>
              <w:rPr>
                <w:sz w:val="20"/>
              </w:rPr>
              <w:t xml:space="preserve">2,2</w:t>
            </w:r>
          </w:p>
        </w:tc>
        <w:tc>
          <w:tcPr>
            <w:tcW w:w="624" w:type="dxa"/>
          </w:tcPr>
          <w:p>
            <w:pPr>
              <w:pStyle w:val="0"/>
              <w:jc w:val="center"/>
            </w:pPr>
            <w:r>
              <w:rPr>
                <w:sz w:val="20"/>
              </w:rPr>
              <w:t xml:space="preserve">0,5</w:t>
            </w:r>
          </w:p>
        </w:tc>
        <w:tc>
          <w:tcPr>
            <w:tcW w:w="737" w:type="dxa"/>
          </w:tcPr>
          <w:p>
            <w:pPr>
              <w:pStyle w:val="0"/>
              <w:jc w:val="center"/>
            </w:pPr>
            <w:r>
              <w:rPr>
                <w:sz w:val="20"/>
              </w:rPr>
              <w:t xml:space="preserve">0,9</w:t>
            </w:r>
          </w:p>
        </w:tc>
        <w:tc>
          <w:tcPr>
            <w:tcW w:w="624" w:type="dxa"/>
          </w:tcPr>
          <w:p>
            <w:pPr>
              <w:pStyle w:val="0"/>
              <w:jc w:val="center"/>
            </w:pPr>
            <w:r>
              <w:rPr>
                <w:sz w:val="20"/>
              </w:rPr>
              <w:t xml:space="preserve">0,1</w:t>
            </w:r>
          </w:p>
        </w:tc>
        <w:tc>
          <w:tcPr>
            <w:tcW w:w="794" w:type="dxa"/>
          </w:tcPr>
          <w:p>
            <w:pPr>
              <w:pStyle w:val="0"/>
              <w:jc w:val="center"/>
            </w:pPr>
            <w:r>
              <w:rPr>
                <w:sz w:val="20"/>
              </w:rPr>
              <w:t xml:space="preserve">0,2</w:t>
            </w:r>
          </w:p>
        </w:tc>
        <w:tc>
          <w:tcPr>
            <w:tcW w:w="624" w:type="dxa"/>
          </w:tcPr>
          <w:p>
            <w:pPr>
              <w:pStyle w:val="0"/>
              <w:jc w:val="center"/>
            </w:pPr>
            <w:r>
              <w:rPr>
                <w:sz w:val="20"/>
              </w:rPr>
              <w:t xml:space="preserve">0,2</w:t>
            </w:r>
          </w:p>
        </w:tc>
        <w:tc>
          <w:tcPr>
            <w:tcW w:w="797" w:type="dxa"/>
          </w:tcPr>
          <w:p>
            <w:pPr>
              <w:pStyle w:val="0"/>
              <w:jc w:val="center"/>
            </w:pPr>
            <w:r>
              <w:rPr>
                <w:sz w:val="20"/>
              </w:rPr>
              <w:t xml:space="preserve">1,0</w:t>
            </w:r>
          </w:p>
        </w:tc>
      </w:tr>
      <w:tr>
        <w:tc>
          <w:tcPr>
            <w:tcW w:w="2778" w:type="dxa"/>
          </w:tcPr>
          <w:p>
            <w:pPr>
              <w:pStyle w:val="0"/>
            </w:pPr>
            <w:r>
              <w:rPr>
                <w:sz w:val="20"/>
              </w:rPr>
              <w:t xml:space="preserve">Предоставление прочих видов услуг</w:t>
            </w:r>
          </w:p>
        </w:tc>
        <w:tc>
          <w:tcPr>
            <w:tcW w:w="624" w:type="dxa"/>
          </w:tcPr>
          <w:p>
            <w:pPr>
              <w:pStyle w:val="0"/>
              <w:jc w:val="center"/>
            </w:pPr>
            <w:r>
              <w:rPr>
                <w:sz w:val="20"/>
              </w:rPr>
              <w:t xml:space="preserve">1,9</w:t>
            </w:r>
          </w:p>
        </w:tc>
        <w:tc>
          <w:tcPr>
            <w:tcW w:w="680" w:type="dxa"/>
          </w:tcPr>
          <w:p>
            <w:pPr>
              <w:pStyle w:val="0"/>
              <w:jc w:val="center"/>
            </w:pPr>
            <w:r>
              <w:rPr>
                <w:sz w:val="20"/>
              </w:rPr>
              <w:t xml:space="preserve">2,4</w:t>
            </w:r>
          </w:p>
        </w:tc>
        <w:tc>
          <w:tcPr>
            <w:tcW w:w="737" w:type="dxa"/>
          </w:tcPr>
          <w:p>
            <w:pPr>
              <w:pStyle w:val="0"/>
              <w:jc w:val="center"/>
            </w:pPr>
            <w:r>
              <w:rPr>
                <w:sz w:val="20"/>
              </w:rPr>
              <w:t xml:space="preserve">4,3</w:t>
            </w:r>
          </w:p>
        </w:tc>
        <w:tc>
          <w:tcPr>
            <w:tcW w:w="624" w:type="dxa"/>
          </w:tcPr>
          <w:p>
            <w:pPr>
              <w:pStyle w:val="0"/>
              <w:jc w:val="center"/>
            </w:pPr>
            <w:r>
              <w:rPr>
                <w:sz w:val="20"/>
              </w:rPr>
              <w:t xml:space="preserve">0,2</w:t>
            </w:r>
          </w:p>
        </w:tc>
        <w:tc>
          <w:tcPr>
            <w:tcW w:w="737" w:type="dxa"/>
          </w:tcPr>
          <w:p>
            <w:pPr>
              <w:pStyle w:val="0"/>
              <w:jc w:val="center"/>
            </w:pPr>
            <w:r>
              <w:rPr>
                <w:sz w:val="20"/>
              </w:rPr>
              <w:t xml:space="preserve">7,3</w:t>
            </w:r>
          </w:p>
        </w:tc>
        <w:tc>
          <w:tcPr>
            <w:tcW w:w="624" w:type="dxa"/>
          </w:tcPr>
          <w:p>
            <w:pPr>
              <w:pStyle w:val="0"/>
              <w:jc w:val="center"/>
            </w:pPr>
            <w:r>
              <w:rPr>
                <w:sz w:val="20"/>
              </w:rPr>
              <w:t xml:space="preserve">0,0</w:t>
            </w:r>
          </w:p>
        </w:tc>
        <w:tc>
          <w:tcPr>
            <w:tcW w:w="794" w:type="dxa"/>
          </w:tcPr>
          <w:p>
            <w:pPr>
              <w:pStyle w:val="0"/>
              <w:jc w:val="center"/>
            </w:pPr>
            <w:r>
              <w:rPr>
                <w:sz w:val="20"/>
              </w:rPr>
              <w:t xml:space="preserve">1,4</w:t>
            </w:r>
          </w:p>
        </w:tc>
        <w:tc>
          <w:tcPr>
            <w:tcW w:w="624" w:type="dxa"/>
          </w:tcPr>
          <w:p>
            <w:pPr>
              <w:pStyle w:val="0"/>
              <w:jc w:val="center"/>
            </w:pPr>
            <w:r>
              <w:rPr>
                <w:sz w:val="20"/>
              </w:rPr>
              <w:t xml:space="preserve">1,6</w:t>
            </w:r>
          </w:p>
        </w:tc>
        <w:tc>
          <w:tcPr>
            <w:tcW w:w="797" w:type="dxa"/>
          </w:tcPr>
          <w:p>
            <w:pPr>
              <w:pStyle w:val="0"/>
              <w:jc w:val="center"/>
            </w:pPr>
            <w:r>
              <w:rPr>
                <w:sz w:val="20"/>
              </w:rPr>
              <w:t xml:space="preserve">2,9</w:t>
            </w:r>
          </w:p>
        </w:tc>
      </w:tr>
      <w:tr>
        <w:tc>
          <w:tcPr>
            <w:tcW w:w="2778" w:type="dxa"/>
          </w:tcPr>
          <w:p>
            <w:pPr>
              <w:pStyle w:val="0"/>
            </w:pPr>
            <w:r>
              <w:rPr>
                <w:sz w:val="20"/>
              </w:rPr>
              <w:t xml:space="preserve">Итого</w:t>
            </w:r>
          </w:p>
        </w:tc>
        <w:tc>
          <w:tcPr>
            <w:tcW w:w="624" w:type="dxa"/>
          </w:tcPr>
          <w:p>
            <w:pPr>
              <w:pStyle w:val="0"/>
              <w:jc w:val="center"/>
            </w:pPr>
            <w:r>
              <w:rPr>
                <w:sz w:val="20"/>
              </w:rPr>
              <w:t xml:space="preserve">75,1</w:t>
            </w:r>
          </w:p>
        </w:tc>
        <w:tc>
          <w:tcPr>
            <w:tcW w:w="680" w:type="dxa"/>
          </w:tcPr>
          <w:p>
            <w:pPr>
              <w:pStyle w:val="0"/>
              <w:jc w:val="center"/>
            </w:pPr>
            <w:r>
              <w:rPr>
                <w:sz w:val="20"/>
              </w:rPr>
              <w:t xml:space="preserve">143,7</w:t>
            </w:r>
          </w:p>
        </w:tc>
        <w:tc>
          <w:tcPr>
            <w:tcW w:w="737" w:type="dxa"/>
          </w:tcPr>
          <w:p>
            <w:pPr>
              <w:pStyle w:val="0"/>
              <w:jc w:val="center"/>
            </w:pPr>
            <w:r>
              <w:rPr>
                <w:sz w:val="20"/>
              </w:rPr>
              <w:t xml:space="preserve">87,1</w:t>
            </w:r>
          </w:p>
        </w:tc>
        <w:tc>
          <w:tcPr>
            <w:tcW w:w="624" w:type="dxa"/>
          </w:tcPr>
          <w:p>
            <w:pPr>
              <w:pStyle w:val="0"/>
              <w:jc w:val="center"/>
            </w:pPr>
            <w:r>
              <w:rPr>
                <w:sz w:val="20"/>
              </w:rPr>
              <w:t xml:space="preserve">40,8</w:t>
            </w:r>
          </w:p>
        </w:tc>
        <w:tc>
          <w:tcPr>
            <w:tcW w:w="737" w:type="dxa"/>
          </w:tcPr>
          <w:p>
            <w:pPr>
              <w:pStyle w:val="0"/>
              <w:jc w:val="center"/>
            </w:pPr>
            <w:r>
              <w:rPr>
                <w:sz w:val="20"/>
              </w:rPr>
              <w:t xml:space="preserve">96,9</w:t>
            </w:r>
          </w:p>
        </w:tc>
        <w:tc>
          <w:tcPr>
            <w:tcW w:w="624" w:type="dxa"/>
          </w:tcPr>
          <w:p>
            <w:pPr>
              <w:pStyle w:val="0"/>
              <w:jc w:val="center"/>
            </w:pPr>
            <w:r>
              <w:rPr>
                <w:sz w:val="20"/>
              </w:rPr>
              <w:t xml:space="preserve">8,2</w:t>
            </w:r>
          </w:p>
        </w:tc>
        <w:tc>
          <w:tcPr>
            <w:tcW w:w="794" w:type="dxa"/>
          </w:tcPr>
          <w:p>
            <w:pPr>
              <w:pStyle w:val="0"/>
              <w:jc w:val="center"/>
            </w:pPr>
            <w:r>
              <w:rPr>
                <w:sz w:val="20"/>
              </w:rPr>
              <w:t xml:space="preserve">116,0</w:t>
            </w:r>
          </w:p>
        </w:tc>
        <w:tc>
          <w:tcPr>
            <w:tcW w:w="624" w:type="dxa"/>
          </w:tcPr>
          <w:p>
            <w:pPr>
              <w:pStyle w:val="0"/>
              <w:jc w:val="center"/>
            </w:pPr>
            <w:r>
              <w:rPr>
                <w:sz w:val="20"/>
              </w:rPr>
              <w:t xml:space="preserve">93,7</w:t>
            </w:r>
          </w:p>
        </w:tc>
        <w:tc>
          <w:tcPr>
            <w:tcW w:w="797" w:type="dxa"/>
          </w:tcPr>
          <w:p>
            <w:pPr>
              <w:pStyle w:val="0"/>
              <w:jc w:val="center"/>
            </w:pPr>
            <w:r>
              <w:rPr>
                <w:sz w:val="20"/>
              </w:rPr>
              <w:t xml:space="preserve">65,8</w:t>
            </w:r>
          </w:p>
        </w:tc>
      </w:tr>
      <w:tr>
        <w:tc>
          <w:tcPr>
            <w:tcW w:w="2778" w:type="dxa"/>
          </w:tcPr>
          <w:p>
            <w:pPr>
              <w:pStyle w:val="0"/>
            </w:pPr>
            <w:r>
              <w:rPr>
                <w:sz w:val="20"/>
              </w:rPr>
              <w:t xml:space="preserve">&lt;*&gt; код укрупненной группы занятий в соответствии с Общероссийским классификатором занятий (ОК 010-2014 (МСКЗ-08). Общероссийский классификатор занятий" (принят и введен в действие </w:t>
            </w:r>
            <w:hyperlink w:history="0" r:id="rId113" w:tooltip="&quot;ОК 010-2014 (МСКЗ-08). Общероссийский классификатор занятий&quot; (принят и введен в действие Приказом Росстандарта от 12.12.2014 N 2020-ст) (ред. от 18.02.2021) {КонсультантПлюс}">
              <w:r>
                <w:rPr>
                  <w:sz w:val="20"/>
                  <w:color w:val="0000ff"/>
                </w:rPr>
                <w:t xml:space="preserve">Приказом</w:t>
              </w:r>
            </w:hyperlink>
            <w:r>
              <w:rPr>
                <w:sz w:val="20"/>
              </w:rPr>
              <w:t xml:space="preserve"> Росстандарта от 12.12.2014 N 2020-ст))</w:t>
            </w:r>
          </w:p>
        </w:tc>
        <w:tc>
          <w:tcPr>
            <w:tcW w:w="624" w:type="dxa"/>
          </w:tcPr>
          <w:p>
            <w:pPr>
              <w:pStyle w:val="0"/>
            </w:pPr>
            <w:r>
              <w:rPr>
                <w:sz w:val="20"/>
              </w:rPr>
            </w:r>
          </w:p>
        </w:tc>
        <w:tc>
          <w:tcPr>
            <w:tcW w:w="680"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37"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797" w:type="dxa"/>
          </w:tcPr>
          <w:p>
            <w:pPr>
              <w:pStyle w:val="0"/>
            </w:pPr>
            <w:r>
              <w:rPr>
                <w:sz w:val="20"/>
              </w:rPr>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N 4</w:t>
      </w:r>
    </w:p>
    <w:p>
      <w:pPr>
        <w:pStyle w:val="0"/>
        <w:jc w:val="right"/>
      </w:pPr>
      <w:r>
        <w:rPr>
          <w:sz w:val="20"/>
        </w:rPr>
        <w:t xml:space="preserve">к стратегии социально-экономического</w:t>
      </w:r>
    </w:p>
    <w:p>
      <w:pPr>
        <w:pStyle w:val="0"/>
        <w:jc w:val="right"/>
      </w:pPr>
      <w:r>
        <w:rPr>
          <w:sz w:val="20"/>
        </w:rPr>
        <w:t xml:space="preserve">развития Тульской области до 2030 года</w:t>
      </w:r>
    </w:p>
    <w:p>
      <w:pPr>
        <w:pStyle w:val="0"/>
        <w:jc w:val="right"/>
      </w:pPr>
      <w:r>
        <w:rPr>
          <w:sz w:val="20"/>
        </w:rPr>
        <w:t xml:space="preserve">с перспективой до 2036 года</w:t>
      </w:r>
    </w:p>
    <w:p>
      <w:pPr>
        <w:pStyle w:val="0"/>
      </w:pPr>
      <w:r>
        <w:rPr>
          <w:sz w:val="20"/>
        </w:rPr>
      </w:r>
    </w:p>
    <w:bookmarkStart w:id="4651" w:name="P4651"/>
    <w:bookmarkEnd w:id="4651"/>
    <w:p>
      <w:pPr>
        <w:pStyle w:val="2"/>
        <w:jc w:val="center"/>
      </w:pPr>
      <w:r>
        <w:rPr>
          <w:sz w:val="20"/>
        </w:rPr>
        <w:t xml:space="preserve">ПЕРЕЧЕНЬ</w:t>
      </w:r>
    </w:p>
    <w:p>
      <w:pPr>
        <w:pStyle w:val="2"/>
        <w:jc w:val="center"/>
      </w:pPr>
      <w:r>
        <w:rPr>
          <w:sz w:val="20"/>
        </w:rPr>
        <w:t xml:space="preserve">государственных программ Тульской области в рамках</w:t>
      </w:r>
    </w:p>
    <w:p>
      <w:pPr>
        <w:pStyle w:val="2"/>
        <w:jc w:val="center"/>
      </w:pPr>
      <w:r>
        <w:rPr>
          <w:sz w:val="20"/>
        </w:rPr>
        <w:t xml:space="preserve">реализации первого этапа (2026 - 2028 годы) стратегии</w:t>
      </w:r>
    </w:p>
    <w:p>
      <w:pPr>
        <w:pStyle w:val="2"/>
        <w:jc w:val="center"/>
      </w:pPr>
      <w:r>
        <w:rPr>
          <w:sz w:val="20"/>
        </w:rPr>
        <w:t xml:space="preserve">социально-экономического развития Тульской области</w:t>
      </w:r>
    </w:p>
    <w:p>
      <w:pPr>
        <w:pStyle w:val="2"/>
        <w:jc w:val="center"/>
      </w:pPr>
      <w:r>
        <w:rPr>
          <w:sz w:val="20"/>
        </w:rPr>
        <w:t xml:space="preserve">до 2030 года с перспективой до 2036 года</w:t>
      </w:r>
    </w:p>
    <w:p>
      <w:pPr>
        <w:pStyle w:val="0"/>
      </w:pPr>
      <w:r>
        <w:rPr>
          <w:sz w:val="20"/>
        </w:rPr>
      </w:r>
    </w:p>
    <w:p>
      <w:pPr>
        <w:pStyle w:val="0"/>
        <w:ind w:firstLine="540"/>
        <w:jc w:val="both"/>
      </w:pPr>
      <w:r>
        <w:rPr>
          <w:sz w:val="20"/>
        </w:rPr>
        <w:t xml:space="preserve">1. Развитие здравоохранения Тульской области.</w:t>
      </w:r>
    </w:p>
    <w:p>
      <w:pPr>
        <w:pStyle w:val="0"/>
        <w:spacing w:before="200" w:lineRule="auto"/>
        <w:ind w:firstLine="540"/>
        <w:jc w:val="both"/>
      </w:pPr>
      <w:r>
        <w:rPr>
          <w:sz w:val="20"/>
        </w:rPr>
        <w:t xml:space="preserve">2. Развитие образования Тульской области.</w:t>
      </w:r>
    </w:p>
    <w:p>
      <w:pPr>
        <w:pStyle w:val="0"/>
        <w:spacing w:before="200" w:lineRule="auto"/>
        <w:ind w:firstLine="540"/>
        <w:jc w:val="both"/>
      </w:pPr>
      <w:r>
        <w:rPr>
          <w:sz w:val="20"/>
        </w:rPr>
        <w:t xml:space="preserve">3. Развитие культуры и туризма Тульской области.</w:t>
      </w:r>
    </w:p>
    <w:p>
      <w:pPr>
        <w:pStyle w:val="0"/>
        <w:spacing w:before="200" w:lineRule="auto"/>
        <w:ind w:firstLine="540"/>
        <w:jc w:val="both"/>
      </w:pPr>
      <w:r>
        <w:rPr>
          <w:sz w:val="20"/>
        </w:rPr>
        <w:t xml:space="preserve">4. Развитие физической культуры и спорта в Тульской области.</w:t>
      </w:r>
    </w:p>
    <w:p>
      <w:pPr>
        <w:pStyle w:val="0"/>
        <w:spacing w:before="200" w:lineRule="auto"/>
        <w:ind w:firstLine="540"/>
        <w:jc w:val="both"/>
      </w:pPr>
      <w:r>
        <w:rPr>
          <w:sz w:val="20"/>
        </w:rPr>
        <w:t xml:space="preserve">5. Социальная поддержка и социальное обслуживание населения Тульской области.</w:t>
      </w:r>
    </w:p>
    <w:p>
      <w:pPr>
        <w:pStyle w:val="0"/>
        <w:spacing w:before="200" w:lineRule="auto"/>
        <w:ind w:firstLine="540"/>
        <w:jc w:val="both"/>
      </w:pPr>
      <w:r>
        <w:rPr>
          <w:sz w:val="20"/>
        </w:rPr>
        <w:t xml:space="preserve">6. Улучшение демографической ситуации и поддержка семей, воспитывающих детей, в Тульской области.</w:t>
      </w:r>
    </w:p>
    <w:p>
      <w:pPr>
        <w:pStyle w:val="0"/>
        <w:spacing w:before="200" w:lineRule="auto"/>
        <w:ind w:firstLine="540"/>
        <w:jc w:val="both"/>
      </w:pPr>
      <w:r>
        <w:rPr>
          <w:sz w:val="20"/>
        </w:rPr>
        <w:t xml:space="preserve">7. Содействие занятости населения Тульской области.</w:t>
      </w:r>
    </w:p>
    <w:p>
      <w:pPr>
        <w:pStyle w:val="0"/>
        <w:spacing w:before="200" w:lineRule="auto"/>
        <w:ind w:firstLine="540"/>
        <w:jc w:val="both"/>
      </w:pPr>
      <w:r>
        <w:rPr>
          <w:sz w:val="20"/>
        </w:rPr>
        <w:t xml:space="preserve">8. Развитие сельского хозяйства Тульской области.</w:t>
      </w:r>
    </w:p>
    <w:p>
      <w:pPr>
        <w:pStyle w:val="0"/>
        <w:spacing w:before="200" w:lineRule="auto"/>
        <w:ind w:firstLine="540"/>
        <w:jc w:val="both"/>
      </w:pPr>
      <w:r>
        <w:rPr>
          <w:sz w:val="20"/>
        </w:rPr>
        <w:t xml:space="preserve">9. Охрана окружающей среды Тульской области.</w:t>
      </w:r>
    </w:p>
    <w:p>
      <w:pPr>
        <w:pStyle w:val="0"/>
        <w:spacing w:before="200" w:lineRule="auto"/>
        <w:ind w:firstLine="540"/>
        <w:jc w:val="both"/>
      </w:pPr>
      <w:r>
        <w:rPr>
          <w:sz w:val="20"/>
        </w:rPr>
        <w:t xml:space="preserve">10. Развитие лесного хозяйства Тульской области.</w:t>
      </w:r>
    </w:p>
    <w:p>
      <w:pPr>
        <w:pStyle w:val="0"/>
        <w:spacing w:before="200" w:lineRule="auto"/>
        <w:ind w:firstLine="540"/>
        <w:jc w:val="both"/>
      </w:pPr>
      <w:r>
        <w:rPr>
          <w:sz w:val="20"/>
        </w:rPr>
        <w:t xml:space="preserve">11. Обеспечение доступным и комфортным жильем населения Тульской области.</w:t>
      </w:r>
    </w:p>
    <w:p>
      <w:pPr>
        <w:pStyle w:val="0"/>
        <w:spacing w:before="200" w:lineRule="auto"/>
        <w:ind w:firstLine="540"/>
        <w:jc w:val="both"/>
      </w:pPr>
      <w:r>
        <w:rPr>
          <w:sz w:val="20"/>
        </w:rPr>
        <w:t xml:space="preserve">12. Энергоэффективность Тульской области.</w:t>
      </w:r>
    </w:p>
    <w:p>
      <w:pPr>
        <w:pStyle w:val="0"/>
        <w:spacing w:before="200" w:lineRule="auto"/>
        <w:ind w:firstLine="540"/>
        <w:jc w:val="both"/>
      </w:pPr>
      <w:r>
        <w:rPr>
          <w:sz w:val="20"/>
        </w:rPr>
        <w:t xml:space="preserve">13. Развитие транспортной системы Тульской области.</w:t>
      </w:r>
    </w:p>
    <w:p>
      <w:pPr>
        <w:pStyle w:val="0"/>
        <w:spacing w:before="200" w:lineRule="auto"/>
        <w:ind w:firstLine="540"/>
        <w:jc w:val="both"/>
      </w:pPr>
      <w:r>
        <w:rPr>
          <w:sz w:val="20"/>
        </w:rPr>
        <w:t xml:space="preserve">14. Модернизация и развитие автомобильных дорог общего пользования в Тульской области.</w:t>
      </w:r>
    </w:p>
    <w:p>
      <w:pPr>
        <w:pStyle w:val="0"/>
        <w:spacing w:before="200" w:lineRule="auto"/>
        <w:ind w:firstLine="540"/>
        <w:jc w:val="both"/>
      </w:pPr>
      <w:r>
        <w:rPr>
          <w:sz w:val="20"/>
        </w:rPr>
        <w:t xml:space="preserve">15. Улучшение инвестиционного климата Тульской области.</w:t>
      </w:r>
    </w:p>
    <w:p>
      <w:pPr>
        <w:pStyle w:val="0"/>
        <w:spacing w:before="200" w:lineRule="auto"/>
        <w:ind w:firstLine="540"/>
        <w:jc w:val="both"/>
      </w:pPr>
      <w:r>
        <w:rPr>
          <w:sz w:val="20"/>
        </w:rPr>
        <w:t xml:space="preserve">16. Развитие промышленности в Тульской области.</w:t>
      </w:r>
    </w:p>
    <w:p>
      <w:pPr>
        <w:pStyle w:val="0"/>
        <w:spacing w:before="200" w:lineRule="auto"/>
        <w:ind w:firstLine="540"/>
        <w:jc w:val="both"/>
      </w:pPr>
      <w:r>
        <w:rPr>
          <w:sz w:val="20"/>
        </w:rPr>
        <w:t xml:space="preserve">17. Развитие малого и среднего предпринимательства в Тульской области.</w:t>
      </w:r>
    </w:p>
    <w:p>
      <w:pPr>
        <w:pStyle w:val="0"/>
        <w:spacing w:before="200" w:lineRule="auto"/>
        <w:ind w:firstLine="540"/>
        <w:jc w:val="both"/>
      </w:pPr>
      <w:r>
        <w:rPr>
          <w:sz w:val="20"/>
        </w:rPr>
        <w:t xml:space="preserve">18. Управление государственными финансами Тульской области.</w:t>
      </w:r>
    </w:p>
    <w:p>
      <w:pPr>
        <w:pStyle w:val="0"/>
        <w:spacing w:before="200" w:lineRule="auto"/>
        <w:ind w:firstLine="540"/>
        <w:jc w:val="both"/>
      </w:pPr>
      <w:r>
        <w:rPr>
          <w:sz w:val="20"/>
        </w:rPr>
        <w:t xml:space="preserve">19. Информационное общество Тульской области.</w:t>
      </w:r>
    </w:p>
    <w:p>
      <w:pPr>
        <w:pStyle w:val="0"/>
        <w:spacing w:before="200" w:lineRule="auto"/>
        <w:ind w:firstLine="540"/>
        <w:jc w:val="both"/>
      </w:pPr>
      <w:r>
        <w:rPr>
          <w:sz w:val="20"/>
        </w:rPr>
        <w:t xml:space="preserve">20. Реализация государственной национальной политики и развитие местного самоуправления в Тульской области.</w:t>
      </w:r>
    </w:p>
    <w:p>
      <w:pPr>
        <w:pStyle w:val="0"/>
        <w:spacing w:before="200" w:lineRule="auto"/>
        <w:ind w:firstLine="540"/>
        <w:jc w:val="both"/>
      </w:pPr>
      <w:r>
        <w:rPr>
          <w:sz w:val="20"/>
        </w:rPr>
        <w:t xml:space="preserve">21. Защита населения и территорий Тульской области от чрезвычайных ситуаций, обеспечение пожарной безопасности и безопасности людей на водных объектах.</w:t>
      </w:r>
    </w:p>
    <w:p>
      <w:pPr>
        <w:pStyle w:val="0"/>
        <w:spacing w:before="200" w:lineRule="auto"/>
        <w:ind w:firstLine="540"/>
        <w:jc w:val="both"/>
      </w:pPr>
      <w:r>
        <w:rPr>
          <w:sz w:val="20"/>
        </w:rPr>
        <w:t xml:space="preserve">22. Управление государственным имуществом и земельными ресурсами Тульской области.</w:t>
      </w:r>
    </w:p>
    <w:p>
      <w:pPr>
        <w:pStyle w:val="0"/>
        <w:spacing w:before="200" w:lineRule="auto"/>
        <w:ind w:firstLine="540"/>
        <w:jc w:val="both"/>
      </w:pPr>
      <w:r>
        <w:rPr>
          <w:sz w:val="20"/>
        </w:rPr>
        <w:t xml:space="preserve">23. Информационная политика в Тульской области.</w:t>
      </w:r>
    </w:p>
    <w:p>
      <w:pPr>
        <w:pStyle w:val="0"/>
        <w:spacing w:before="200" w:lineRule="auto"/>
        <w:ind w:firstLine="540"/>
        <w:jc w:val="both"/>
      </w:pPr>
      <w:r>
        <w:rPr>
          <w:sz w:val="20"/>
        </w:rPr>
        <w:t xml:space="preserve">24. Повышение общественной безопасности населения в Тульской области.</w:t>
      </w:r>
    </w:p>
    <w:p>
      <w:pPr>
        <w:pStyle w:val="0"/>
        <w:spacing w:before="200" w:lineRule="auto"/>
        <w:ind w:firstLine="540"/>
        <w:jc w:val="both"/>
      </w:pPr>
      <w:r>
        <w:rPr>
          <w:sz w:val="20"/>
        </w:rPr>
        <w:t xml:space="preserve">25. Доступная среда.</w:t>
      </w:r>
    </w:p>
    <w:p>
      <w:pPr>
        <w:pStyle w:val="0"/>
        <w:spacing w:before="200" w:lineRule="auto"/>
        <w:ind w:firstLine="540"/>
        <w:jc w:val="both"/>
      </w:pPr>
      <w:r>
        <w:rPr>
          <w:sz w:val="20"/>
        </w:rPr>
        <w:t xml:space="preserve">26. Государственная поддержка социально ориентированных некоммерческих организаций в Тульской области.</w:t>
      </w:r>
    </w:p>
    <w:p>
      <w:pPr>
        <w:pStyle w:val="0"/>
        <w:spacing w:before="200" w:lineRule="auto"/>
        <w:ind w:firstLine="540"/>
        <w:jc w:val="both"/>
      </w:pPr>
      <w:r>
        <w:rPr>
          <w:sz w:val="20"/>
        </w:rPr>
        <w:t xml:space="preserve">27. Оказание содействия добровольному переселению в Российскую Федерацию соотечественников, проживающих за рубежом.</w:t>
      </w:r>
    </w:p>
    <w:p>
      <w:pPr>
        <w:pStyle w:val="0"/>
        <w:spacing w:before="200" w:lineRule="auto"/>
        <w:ind w:firstLine="540"/>
        <w:jc w:val="both"/>
      </w:pPr>
      <w:r>
        <w:rPr>
          <w:sz w:val="20"/>
        </w:rPr>
        <w:t xml:space="preserve">28. Развитие молодежной политики в Тульской области.</w:t>
      </w:r>
    </w:p>
    <w:p>
      <w:pPr>
        <w:pStyle w:val="0"/>
        <w:spacing w:before="200" w:lineRule="auto"/>
        <w:ind w:firstLine="540"/>
        <w:jc w:val="both"/>
      </w:pPr>
      <w:r>
        <w:rPr>
          <w:sz w:val="20"/>
        </w:rPr>
        <w:t xml:space="preserve">29. Формирование современной городской среды в Тульской области.</w:t>
      </w:r>
    </w:p>
    <w:p>
      <w:pPr>
        <w:pStyle w:val="0"/>
        <w:spacing w:before="200" w:lineRule="auto"/>
        <w:ind w:firstLine="540"/>
        <w:jc w:val="both"/>
      </w:pPr>
      <w:r>
        <w:rPr>
          <w:sz w:val="20"/>
        </w:rPr>
        <w:t xml:space="preserve">30. Обеспечение качественными услугами жилищно-коммунального хозяйства населения Тульской области.</w:t>
      </w:r>
    </w:p>
    <w:p>
      <w:pPr>
        <w:pStyle w:val="0"/>
        <w:spacing w:before="200" w:lineRule="auto"/>
        <w:ind w:firstLine="540"/>
        <w:jc w:val="both"/>
      </w:pPr>
      <w:r>
        <w:rPr>
          <w:sz w:val="20"/>
        </w:rPr>
        <w:t xml:space="preserve">31. Обеспечение эпизоотического и ветеринарно-санитарного благополучия на территории Тульской области.</w:t>
      </w:r>
    </w:p>
    <w:p>
      <w:pPr>
        <w:pStyle w:val="0"/>
        <w:spacing w:before="200" w:lineRule="auto"/>
        <w:ind w:firstLine="540"/>
        <w:jc w:val="both"/>
      </w:pPr>
      <w:r>
        <w:rPr>
          <w:sz w:val="20"/>
        </w:rPr>
        <w:t xml:space="preserve">32. Комплексное развитие сельских территорий Тульской области.</w:t>
      </w:r>
    </w:p>
    <w:p>
      <w:pPr>
        <w:pStyle w:val="0"/>
        <w:spacing w:before="200" w:lineRule="auto"/>
        <w:ind w:firstLine="540"/>
        <w:jc w:val="both"/>
      </w:pPr>
      <w:r>
        <w:rPr>
          <w:sz w:val="20"/>
        </w:rPr>
        <w:t xml:space="preserve">33. Развитие научной и инновационной деятельности в Тульской области.</w:t>
      </w:r>
    </w:p>
    <w:p>
      <w:pPr>
        <w:pStyle w:val="0"/>
        <w:spacing w:before="200" w:lineRule="auto"/>
        <w:ind w:firstLine="540"/>
        <w:jc w:val="both"/>
      </w:pPr>
      <w:r>
        <w:rPr>
          <w:sz w:val="20"/>
        </w:rPr>
        <w:t xml:space="preserve">34. Развитие инфраструктуры образовательных организаций, расположенных на территории Тульской области.</w:t>
      </w:r>
    </w:p>
    <w:p>
      <w:pPr>
        <w:pStyle w:val="0"/>
        <w:spacing w:before="200" w:lineRule="auto"/>
        <w:ind w:firstLine="540"/>
        <w:jc w:val="both"/>
      </w:pPr>
      <w:r>
        <w:rPr>
          <w:sz w:val="20"/>
        </w:rPr>
        <w:t xml:space="preserve">35. Развитие жилищного хозяйства и системы обращения с отходами в Тульской области.</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Тульской области от 26.03.2026 N 170</w:t>
            <w:br/>
            <w:t>"Об утверждении Стратегии социально-экономического разв...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Тульской области от 26.03.2026 N 170</w:t>
            <w:br/>
            <w:t>"Об утверждении Стратегии социально-экономического разв...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21.09.2026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480785&amp;dst=15" TargetMode = "External"/><Relationship Id="rId9" Type="http://schemas.openxmlformats.org/officeDocument/2006/relationships/hyperlink" Target="https://login.consultant.ru/link/?req=doc&amp;base=RLAW067&amp;n=121554&amp;dst=100031" TargetMode = "External"/><Relationship Id="rId10" Type="http://schemas.openxmlformats.org/officeDocument/2006/relationships/hyperlink" Target="https://login.consultant.ru/link/?req=doc&amp;base=RLAW067&amp;n=143044&amp;dst=100410" TargetMode = "Externa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yperlink" Target="https://login.consultant.ru/link/?req=doc&amp;base=RLAW067&amp;n=149239" TargetMode = "External"/><Relationship Id="rId14" Type="http://schemas.openxmlformats.org/officeDocument/2006/relationships/hyperlink" Target="https://login.consultant.ru/link/?req=doc&amp;base=RLAW067&amp;n=149239" TargetMode = "External"/><Relationship Id="rId15" Type="http://schemas.openxmlformats.org/officeDocument/2006/relationships/hyperlink" Target="https://login.consultant.ru/link/?req=doc&amp;base=RLAW067&amp;n=149325" TargetMode = "External"/><Relationship Id="rId16" Type="http://schemas.openxmlformats.org/officeDocument/2006/relationships/hyperlink" Target="https://login.consultant.ru/link/?req=doc&amp;base=RLAW067&amp;n=152114&amp;dst=100021" TargetMode = "External"/><Relationship Id="rId17" Type="http://schemas.openxmlformats.org/officeDocument/2006/relationships/hyperlink" Target="https://login.consultant.ru/link/?req=doc&amp;base=LAW&amp;n=541061" TargetMode = "External"/><Relationship Id="rId18" Type="http://schemas.openxmlformats.org/officeDocument/2006/relationships/hyperlink" Target="https://login.consultant.ru/link/?req=doc&amp;base=RLAW067&amp;n=125508&amp;dst=102618" TargetMode = "External"/><Relationship Id="rId19" Type="http://schemas.openxmlformats.org/officeDocument/2006/relationships/hyperlink" Target="https://login.consultant.ru/link/?req=doc&amp;base=RLAW067&amp;n=150712" TargetMode = "External"/><Relationship Id="rId20" Type="http://schemas.openxmlformats.org/officeDocument/2006/relationships/hyperlink" Target="https://login.consultant.ru/link/?req=doc&amp;base=RLAW067&amp;n=145655&amp;dst=112276" TargetMode = "External"/><Relationship Id="rId21" Type="http://schemas.openxmlformats.org/officeDocument/2006/relationships/hyperlink" Target="https://login.consultant.ru/link/?req=doc&amp;base=RLAW067&amp;n=145655&amp;dst=112276" TargetMode = "External"/><Relationship Id="rId22" Type="http://schemas.openxmlformats.org/officeDocument/2006/relationships/hyperlink" Target="https://login.consultant.ru/link/?req=doc&amp;base=RLAW067&amp;n=145655&amp;dst=112276" TargetMode = "External"/><Relationship Id="rId23" Type="http://schemas.openxmlformats.org/officeDocument/2006/relationships/hyperlink" Target="https://login.consultant.ru/link/?req=doc&amp;base=RLAW067&amp;n=145655&amp;dst=112276" TargetMode = "External"/><Relationship Id="rId24" Type="http://schemas.openxmlformats.org/officeDocument/2006/relationships/hyperlink" Target="https://login.consultant.ru/link/?req=doc&amp;base=RLAW067&amp;n=125508&amp;dst=102618" TargetMode = "External"/><Relationship Id="rId25" Type="http://schemas.openxmlformats.org/officeDocument/2006/relationships/hyperlink" Target="https://login.consultant.ru/link/?req=doc&amp;base=RLAW067&amp;n=152114&amp;dst=100021" TargetMode = "External"/><Relationship Id="rId26" Type="http://schemas.openxmlformats.org/officeDocument/2006/relationships/hyperlink" Target="https://login.consultant.ru/link/?req=doc&amp;base=RLAW067&amp;n=152114&amp;dst=100021" TargetMode = "External"/><Relationship Id="rId27" Type="http://schemas.openxmlformats.org/officeDocument/2006/relationships/hyperlink" Target="https://login.consultant.ru/link/?req=doc&amp;base=RLAW067&amp;n=152114&amp;dst=100021" TargetMode = "External"/><Relationship Id="rId28" Type="http://schemas.openxmlformats.org/officeDocument/2006/relationships/hyperlink" Target="https://login.consultant.ru/link/?req=doc&amp;base=RLAW067&amp;n=135799&amp;dst=100011" TargetMode = "External"/><Relationship Id="rId29" Type="http://schemas.openxmlformats.org/officeDocument/2006/relationships/hyperlink" Target="https://login.consultant.ru/link/?req=doc&amp;base=RLAW067&amp;n=148075&amp;dst=100012" TargetMode = "External"/><Relationship Id="rId30" Type="http://schemas.openxmlformats.org/officeDocument/2006/relationships/hyperlink" Target="https://login.consultant.ru/link/?req=doc&amp;base=RLAW067&amp;n=147380&amp;dst=102939" TargetMode = "External"/><Relationship Id="rId31" Type="http://schemas.openxmlformats.org/officeDocument/2006/relationships/hyperlink" Target="https://login.consultant.ru/link/?req=doc&amp;base=RLAW067&amp;n=147380&amp;dst=102939" TargetMode = "External"/><Relationship Id="rId32" Type="http://schemas.openxmlformats.org/officeDocument/2006/relationships/hyperlink" Target="https://login.consultant.ru/link/?req=doc&amp;base=LAW&amp;n=538619" TargetMode = "External"/><Relationship Id="rId33" Type="http://schemas.openxmlformats.org/officeDocument/2006/relationships/hyperlink" Target="https://login.consultant.ru/link/?req=doc&amp;base=RLAW067&amp;n=141191&amp;dst=105286" TargetMode = "External"/><Relationship Id="rId34" Type="http://schemas.openxmlformats.org/officeDocument/2006/relationships/hyperlink" Target="https://login.consultant.ru/link/?req=doc&amp;base=RLAW067&amp;n=90378" TargetMode = "External"/><Relationship Id="rId35" Type="http://schemas.openxmlformats.org/officeDocument/2006/relationships/hyperlink" Target="https://login.consultant.ru/link/?req=doc&amp;base=RLAW067&amp;n=150123" TargetMode = "External"/><Relationship Id="rId36" Type="http://schemas.openxmlformats.org/officeDocument/2006/relationships/hyperlink" Target="https://login.consultant.ru/link/?req=doc&amp;base=RLAW067&amp;n=141835&amp;dst=106411" TargetMode = "External"/><Relationship Id="rId37" Type="http://schemas.openxmlformats.org/officeDocument/2006/relationships/hyperlink" Target="https://login.consultant.ru/link/?req=doc&amp;base=RLAW067&amp;n=149189&amp;dst=100011" TargetMode = "External"/><Relationship Id="rId38" Type="http://schemas.openxmlformats.org/officeDocument/2006/relationships/hyperlink" Target="https://login.consultant.ru/link/?req=doc&amp;base=RLAW067&amp;n=151089&amp;dst=106560" TargetMode = "External"/><Relationship Id="rId39" Type="http://schemas.openxmlformats.org/officeDocument/2006/relationships/hyperlink" Target="https://login.consultant.ru/link/?req=doc&amp;base=RLAW067&amp;n=150558&amp;dst=100139" TargetMode = "External"/><Relationship Id="rId40" Type="http://schemas.openxmlformats.org/officeDocument/2006/relationships/hyperlink" Target="https://login.consultant.ru/link/?req=doc&amp;base=LAW&amp;n=475991" TargetMode = "External"/><Relationship Id="rId41" Type="http://schemas.openxmlformats.org/officeDocument/2006/relationships/hyperlink" Target="https://login.consultant.ru/link/?req=doc&amp;base=RLAW067&amp;n=148122" TargetMode = "External"/><Relationship Id="rId42" Type="http://schemas.openxmlformats.org/officeDocument/2006/relationships/hyperlink" Target="https://login.consultant.ru/link/?req=doc&amp;base=LAW&amp;n=533770&amp;dst=100019" TargetMode = "External"/><Relationship Id="rId43" Type="http://schemas.openxmlformats.org/officeDocument/2006/relationships/hyperlink" Target="https://login.consultant.ru/link/?req=doc&amp;base=RLAW067&amp;n=151089&amp;dst=106560" TargetMode = "External"/><Relationship Id="rId44" Type="http://schemas.openxmlformats.org/officeDocument/2006/relationships/hyperlink" Target="https://login.consultant.ru/link/?req=doc&amp;base=LAW&amp;n=488212&amp;dst=100012" TargetMode = "External"/><Relationship Id="rId45" Type="http://schemas.openxmlformats.org/officeDocument/2006/relationships/hyperlink" Target="https://login.consultant.ru/link/?req=doc&amp;base=RLAW067&amp;n=151442&amp;dst=103348" TargetMode = "External"/><Relationship Id="rId46" Type="http://schemas.openxmlformats.org/officeDocument/2006/relationships/hyperlink" Target="https://login.consultant.ru/link/?req=doc&amp;base=RLAW067&amp;n=147758&amp;dst=106624" TargetMode = "External"/><Relationship Id="rId47" Type="http://schemas.openxmlformats.org/officeDocument/2006/relationships/hyperlink" Target="https://login.consultant.ru/link/?req=doc&amp;base=RLAW067&amp;n=151442&amp;dst=103348" TargetMode = "External"/><Relationship Id="rId48" Type="http://schemas.openxmlformats.org/officeDocument/2006/relationships/hyperlink" Target="https://login.consultant.ru/link/?req=doc&amp;base=RLAW067&amp;n=149189&amp;dst=100011" TargetMode = "External"/><Relationship Id="rId49" Type="http://schemas.openxmlformats.org/officeDocument/2006/relationships/hyperlink" Target="https://login.consultant.ru/link/?req=doc&amp;base=LAW&amp;n=480785&amp;dst=15" TargetMode = "External"/><Relationship Id="rId50" Type="http://schemas.openxmlformats.org/officeDocument/2006/relationships/hyperlink" Target="https://login.consultant.ru/link/?req=doc&amp;base=LAW&amp;n=510266" TargetMode = "External"/><Relationship Id="rId51" Type="http://schemas.openxmlformats.org/officeDocument/2006/relationships/hyperlink" Target="https://login.consultant.ru/link/?req=doc&amp;base=LAW&amp;n=216363&amp;dst=100258" TargetMode = "External"/><Relationship Id="rId52" Type="http://schemas.openxmlformats.org/officeDocument/2006/relationships/hyperlink" Target="https://login.consultant.ru/link/?req=doc&amp;base=LAW&amp;n=216629" TargetMode = "External"/><Relationship Id="rId53" Type="http://schemas.openxmlformats.org/officeDocument/2006/relationships/hyperlink" Target="https://login.consultant.ru/link/?req=doc&amp;base=LAW&amp;n=470015&amp;dst=100199" TargetMode = "External"/><Relationship Id="rId54" Type="http://schemas.openxmlformats.org/officeDocument/2006/relationships/hyperlink" Target="https://login.consultant.ru/link/?req=doc&amp;base=LAW&amp;n=335627" TargetMode = "External"/><Relationship Id="rId55" Type="http://schemas.openxmlformats.org/officeDocument/2006/relationships/hyperlink" Target="https://login.consultant.ru/link/?req=doc&amp;base=LAW&amp;n=500541&amp;dst=100011" TargetMode = "External"/><Relationship Id="rId56" Type="http://schemas.openxmlformats.org/officeDocument/2006/relationships/hyperlink" Target="https://login.consultant.ru/link/?req=doc&amp;base=LAW&amp;n=526741" TargetMode = "External"/><Relationship Id="rId57" Type="http://schemas.openxmlformats.org/officeDocument/2006/relationships/hyperlink" Target="https://login.consultant.ru/link/?req=doc&amp;base=LAW&amp;n=389271" TargetMode = "External"/><Relationship Id="rId58" Type="http://schemas.openxmlformats.org/officeDocument/2006/relationships/hyperlink" Target="https://login.consultant.ru/link/?req=doc&amp;base=LAW&amp;n=400057&amp;dst=100060" TargetMode = "External"/><Relationship Id="rId59" Type="http://schemas.openxmlformats.org/officeDocument/2006/relationships/hyperlink" Target="https://login.consultant.ru/link/?req=doc&amp;base=LAW&amp;n=443540" TargetMode = "External"/><Relationship Id="rId60" Type="http://schemas.openxmlformats.org/officeDocument/2006/relationships/hyperlink" Target="https://login.consultant.ru/link/?req=doc&amp;base=LAW&amp;n=470973&amp;dst=100035" TargetMode = "External"/><Relationship Id="rId61" Type="http://schemas.openxmlformats.org/officeDocument/2006/relationships/hyperlink" Target="https://login.consultant.ru/link/?req=doc&amp;base=LAW&amp;n=475991" TargetMode = "External"/><Relationship Id="rId62" Type="http://schemas.openxmlformats.org/officeDocument/2006/relationships/hyperlink" Target="https://login.consultant.ru/link/?req=doc&amp;base=LAW&amp;n=478980" TargetMode = "External"/><Relationship Id="rId63" Type="http://schemas.openxmlformats.org/officeDocument/2006/relationships/hyperlink" Target="https://login.consultant.ru/link/?req=doc&amp;base=LAW&amp;n=491669" TargetMode = "External"/><Relationship Id="rId64" Type="http://schemas.openxmlformats.org/officeDocument/2006/relationships/hyperlink" Target="https://login.consultant.ru/link/?req=doc&amp;base=LAW&amp;n=495013" TargetMode = "External"/><Relationship Id="rId65" Type="http://schemas.openxmlformats.org/officeDocument/2006/relationships/hyperlink" Target="https://login.consultant.ru/link/?req=doc&amp;base=LAW&amp;n=518887" TargetMode = "External"/><Relationship Id="rId66" Type="http://schemas.openxmlformats.org/officeDocument/2006/relationships/hyperlink" Target="https://login.consultant.ru/link/?req=doc&amp;base=LAW&amp;n=519680" TargetMode = "External"/><Relationship Id="rId67" Type="http://schemas.openxmlformats.org/officeDocument/2006/relationships/hyperlink" Target="https://login.consultant.ru/link/?req=doc&amp;base=LAW&amp;n=520966" TargetMode = "External"/><Relationship Id="rId68" Type="http://schemas.openxmlformats.org/officeDocument/2006/relationships/hyperlink" Target="https://login.consultant.ru/link/?req=doc&amp;base=LAW&amp;n=129117" TargetMode = "External"/><Relationship Id="rId69" Type="http://schemas.openxmlformats.org/officeDocument/2006/relationships/hyperlink" Target="https://login.consultant.ru/link/?req=doc&amp;base=LAW&amp;n=309803&amp;dst=100008" TargetMode = "External"/><Relationship Id="rId70" Type="http://schemas.openxmlformats.org/officeDocument/2006/relationships/hyperlink" Target="https://login.consultant.ru/link/?req=doc&amp;base=LAW&amp;n=283882&amp;dst=100008" TargetMode = "External"/><Relationship Id="rId71" Type="http://schemas.openxmlformats.org/officeDocument/2006/relationships/hyperlink" Target="https://login.consultant.ru/link/?req=doc&amp;base=LAW&amp;n=159411&amp;dst=100009" TargetMode = "External"/><Relationship Id="rId72" Type="http://schemas.openxmlformats.org/officeDocument/2006/relationships/hyperlink" Target="https://login.consultant.ru/link/?req=doc&amp;base=LAW&amp;n=165287&amp;dst=100009" TargetMode = "External"/><Relationship Id="rId73" Type="http://schemas.openxmlformats.org/officeDocument/2006/relationships/hyperlink" Target="https://login.consultant.ru/link/?req=doc&amp;base=LAW&amp;n=211112&amp;dst=100009" TargetMode = "External"/><Relationship Id="rId74" Type="http://schemas.openxmlformats.org/officeDocument/2006/relationships/hyperlink" Target="https://login.consultant.ru/link/?req=doc&amp;base=LAW&amp;n=207726&amp;dst=100011" TargetMode = "External"/><Relationship Id="rId75" Type="http://schemas.openxmlformats.org/officeDocument/2006/relationships/hyperlink" Target="https://login.consultant.ru/link/?req=doc&amp;base=LAW&amp;n=294696&amp;dst=100010" TargetMode = "External"/><Relationship Id="rId76" Type="http://schemas.openxmlformats.org/officeDocument/2006/relationships/hyperlink" Target="https://login.consultant.ru/link/?req=doc&amp;base=LAW&amp;n=219731&amp;dst=100010" TargetMode = "External"/><Relationship Id="rId77" Type="http://schemas.openxmlformats.org/officeDocument/2006/relationships/hyperlink" Target="https://login.consultant.ru/link/?req=doc&amp;base=LAW&amp;n=429260&amp;dst=100011" TargetMode = "External"/><Relationship Id="rId78" Type="http://schemas.openxmlformats.org/officeDocument/2006/relationships/hyperlink" Target="https://login.consultant.ru/link/?req=doc&amp;base=LAW&amp;n=256217&amp;dst=100007" TargetMode = "External"/><Relationship Id="rId79" Type="http://schemas.openxmlformats.org/officeDocument/2006/relationships/hyperlink" Target="https://login.consultant.ru/link/?req=doc&amp;base=LAW&amp;n=256229&amp;dst=100008" TargetMode = "External"/><Relationship Id="rId80" Type="http://schemas.openxmlformats.org/officeDocument/2006/relationships/hyperlink" Target="https://login.consultant.ru/link/?req=doc&amp;base=LAW&amp;n=256229&amp;dst=100719" TargetMode = "External"/><Relationship Id="rId81" Type="http://schemas.openxmlformats.org/officeDocument/2006/relationships/hyperlink" Target="https://login.consultant.ru/link/?req=doc&amp;base=LAW&amp;n=493271&amp;dst=100010" TargetMode = "External"/><Relationship Id="rId82" Type="http://schemas.openxmlformats.org/officeDocument/2006/relationships/hyperlink" Target="https://login.consultant.ru/link/?req=doc&amp;base=LAW&amp;n=429257&amp;dst=100009" TargetMode = "External"/><Relationship Id="rId83" Type="http://schemas.openxmlformats.org/officeDocument/2006/relationships/hyperlink" Target="https://login.consultant.ru/link/?req=doc&amp;base=LAW&amp;n=332931&amp;dst=100008" TargetMode = "External"/><Relationship Id="rId84" Type="http://schemas.openxmlformats.org/officeDocument/2006/relationships/hyperlink" Target="https://login.consultant.ru/link/?req=doc&amp;base=LAW&amp;n=506620&amp;dst=100012" TargetMode = "External"/><Relationship Id="rId85" Type="http://schemas.openxmlformats.org/officeDocument/2006/relationships/hyperlink" Target="https://login.consultant.ru/link/?req=doc&amp;base=LAW&amp;n=488689&amp;dst=100011" TargetMode = "External"/><Relationship Id="rId86" Type="http://schemas.openxmlformats.org/officeDocument/2006/relationships/hyperlink" Target="https://login.consultant.ru/link/?req=doc&amp;base=LAW&amp;n=480748&amp;dst=100008" TargetMode = "External"/><Relationship Id="rId87" Type="http://schemas.openxmlformats.org/officeDocument/2006/relationships/hyperlink" Target="https://login.consultant.ru/link/?req=doc&amp;base=LAW&amp;n=526167&amp;dst=100009" TargetMode = "External"/><Relationship Id="rId88" Type="http://schemas.openxmlformats.org/officeDocument/2006/relationships/hyperlink" Target="https://login.consultant.ru/link/?req=doc&amp;base=LAW&amp;n=377162&amp;dst=100014" TargetMode = "External"/><Relationship Id="rId89" Type="http://schemas.openxmlformats.org/officeDocument/2006/relationships/hyperlink" Target="https://login.consultant.ru/link/?req=doc&amp;base=LAW&amp;n=516405&amp;dst=100006" TargetMode = "External"/><Relationship Id="rId90" Type="http://schemas.openxmlformats.org/officeDocument/2006/relationships/hyperlink" Target="https://login.consultant.ru/link/?req=doc&amp;base=LAW&amp;n=399657&amp;dst=100015" TargetMode = "External"/><Relationship Id="rId91" Type="http://schemas.openxmlformats.org/officeDocument/2006/relationships/hyperlink" Target="https://login.consultant.ru/link/?req=doc&amp;base=LAW&amp;n=489969&amp;dst=100020" TargetMode = "External"/><Relationship Id="rId92" Type="http://schemas.openxmlformats.org/officeDocument/2006/relationships/hyperlink" Target="https://login.consultant.ru/link/?req=doc&amp;base=LAW&amp;n=522247&amp;dst=100012" TargetMode = "External"/><Relationship Id="rId93" Type="http://schemas.openxmlformats.org/officeDocument/2006/relationships/hyperlink" Target="https://login.consultant.ru/link/?req=doc&amp;base=LAW&amp;n=517438&amp;dst=100008" TargetMode = "External"/><Relationship Id="rId94" Type="http://schemas.openxmlformats.org/officeDocument/2006/relationships/hyperlink" Target="https://login.consultant.ru/link/?req=doc&amp;base=LAW&amp;n=436691&amp;dst=100009" TargetMode = "External"/><Relationship Id="rId95" Type="http://schemas.openxmlformats.org/officeDocument/2006/relationships/hyperlink" Target="https://login.consultant.ru/link/?req=doc&amp;base=LAW&amp;n=516734&amp;dst=100010" TargetMode = "External"/><Relationship Id="rId96" Type="http://schemas.openxmlformats.org/officeDocument/2006/relationships/hyperlink" Target="https://login.consultant.ru/link/?req=doc&amp;base=LAW&amp;n=463486&amp;dst=100009" TargetMode = "External"/><Relationship Id="rId97" Type="http://schemas.openxmlformats.org/officeDocument/2006/relationships/hyperlink" Target="https://login.consultant.ru/link/?req=doc&amp;base=LAW&amp;n=472443&amp;dst=100009" TargetMode = "External"/><Relationship Id="rId98" Type="http://schemas.openxmlformats.org/officeDocument/2006/relationships/hyperlink" Target="https://login.consultant.ru/link/?req=doc&amp;base=LAW&amp;n=533601&amp;dst=100013" TargetMode = "External"/><Relationship Id="rId99" Type="http://schemas.openxmlformats.org/officeDocument/2006/relationships/hyperlink" Target="https://login.consultant.ru/link/?req=doc&amp;base=LAW&amp;n=495567&amp;dst=100012" TargetMode = "External"/><Relationship Id="rId100" Type="http://schemas.openxmlformats.org/officeDocument/2006/relationships/hyperlink" Target="https://login.consultant.ru/link/?req=doc&amp;base=LAW&amp;n=533600&amp;dst=100011" TargetMode = "External"/><Relationship Id="rId101" Type="http://schemas.openxmlformats.org/officeDocument/2006/relationships/hyperlink" Target="https://login.consultant.ru/link/?req=doc&amp;base=LAW&amp;n=503079&amp;dst=100018" TargetMode = "External"/><Relationship Id="rId102" Type="http://schemas.openxmlformats.org/officeDocument/2006/relationships/hyperlink" Target="https://login.consultant.ru/link/?req=doc&amp;base=LAW&amp;n=521444&amp;dst=100010" TargetMode = "External"/><Relationship Id="rId103" Type="http://schemas.openxmlformats.org/officeDocument/2006/relationships/hyperlink" Target="https://login.consultant.ru/link/?req=doc&amp;base=LAW&amp;n=520569" TargetMode = "External"/><Relationship Id="rId104" Type="http://schemas.openxmlformats.org/officeDocument/2006/relationships/hyperlink" Target="https://login.consultant.ru/link/?req=doc&amp;base=RLAW067&amp;n=121554&amp;dst=100031" TargetMode = "External"/><Relationship Id="rId105" Type="http://schemas.openxmlformats.org/officeDocument/2006/relationships/hyperlink" Target="https://login.consultant.ru/link/?req=doc&amp;base=RLAW067&amp;n=138622" TargetMode = "External"/><Relationship Id="rId106" Type="http://schemas.openxmlformats.org/officeDocument/2006/relationships/hyperlink" Target="https://login.consultant.ru/link/?req=doc&amp;base=RLAW067&amp;n=122939&amp;dst=100089" TargetMode = "External"/><Relationship Id="rId107" Type="http://schemas.openxmlformats.org/officeDocument/2006/relationships/hyperlink" Target="https://login.consultant.ru/link/?req=doc&amp;base=LAW&amp;n=386337" TargetMode = "External"/><Relationship Id="rId108" Type="http://schemas.openxmlformats.org/officeDocument/2006/relationships/hyperlink" Target="https://login.consultant.ru/link/?req=doc&amp;base=LAW&amp;n=386337" TargetMode = "External"/><Relationship Id="rId109" Type="http://schemas.openxmlformats.org/officeDocument/2006/relationships/hyperlink" Target="https://login.consultant.ru/link/?req=doc&amp;base=LAW&amp;n=386337" TargetMode = "External"/><Relationship Id="rId110" Type="http://schemas.openxmlformats.org/officeDocument/2006/relationships/hyperlink" Target="https://login.consultant.ru/link/?req=doc&amp;base=LAW&amp;n=386337" TargetMode = "External"/><Relationship Id="rId111" Type="http://schemas.openxmlformats.org/officeDocument/2006/relationships/hyperlink" Target="https://login.consultant.ru/link/?req=doc&amp;base=LAW&amp;n=386337" TargetMode = "External"/><Relationship Id="rId112" Type="http://schemas.openxmlformats.org/officeDocument/2006/relationships/hyperlink" Target="https://login.consultant.ru/link/?req=doc&amp;base=LAW&amp;n=386337" TargetMode = "External"/><Relationship Id="rId113" Type="http://schemas.openxmlformats.org/officeDocument/2006/relationships/hyperlink" Target="https://login.consultant.ru/link/?req=doc&amp;base=LAW&amp;n=38633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Тульской области от 26.03.2026 N 170
"Об утверждении Стратегии социально-экономического развития Тульской области до 2030 года с перспективой до 2036 года"</dc:title>
  <dcterms:created xsi:type="dcterms:W3CDTF">2026-09-21T08:27:15Z</dcterms:created>
</cp:coreProperties>
</file>