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745C" w:rsidTr="00927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45C" w:rsidRDefault="0092745C">
            <w:pPr>
              <w:pStyle w:val="ConsPlusNormal"/>
            </w:pPr>
            <w:r>
              <w:t>1 июля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745C" w:rsidRDefault="0092745C">
            <w:pPr>
              <w:pStyle w:val="ConsPlusNormal"/>
              <w:jc w:val="right"/>
            </w:pPr>
            <w:r>
              <w:t>N 51-ЗТО</w:t>
            </w:r>
          </w:p>
        </w:tc>
      </w:tr>
    </w:tbl>
    <w:p w:rsidR="0092745C" w:rsidRDefault="00927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Title"/>
        <w:jc w:val="center"/>
      </w:pPr>
      <w:r>
        <w:t>ЗАКОН</w:t>
      </w:r>
    </w:p>
    <w:p w:rsidR="0092745C" w:rsidRDefault="0092745C">
      <w:pPr>
        <w:pStyle w:val="ConsPlusTitle"/>
        <w:jc w:val="center"/>
      </w:pPr>
      <w:r>
        <w:t>ТУЛЬСКОЙ ОБЛАСТИ</w:t>
      </w:r>
    </w:p>
    <w:p w:rsidR="0092745C" w:rsidRDefault="0092745C">
      <w:pPr>
        <w:pStyle w:val="ConsPlusTitle"/>
        <w:jc w:val="both"/>
      </w:pPr>
    </w:p>
    <w:p w:rsidR="0092745C" w:rsidRDefault="0092745C">
      <w:pPr>
        <w:pStyle w:val="ConsPlusTitle"/>
        <w:jc w:val="center"/>
      </w:pPr>
      <w:r>
        <w:t>ОБ ИНВЕСТИЦИОННОМ НАЛОГОВОМ ВЫЧЕТЕ</w:t>
      </w: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Normal"/>
        <w:jc w:val="right"/>
      </w:pPr>
      <w:proofErr w:type="gramStart"/>
      <w:r>
        <w:t>Принят</w:t>
      </w:r>
      <w:proofErr w:type="gramEnd"/>
    </w:p>
    <w:p w:rsidR="0092745C" w:rsidRDefault="0092745C">
      <w:pPr>
        <w:pStyle w:val="ConsPlusNormal"/>
        <w:jc w:val="right"/>
      </w:pPr>
      <w:r>
        <w:t>Тульской областной Думой</w:t>
      </w:r>
    </w:p>
    <w:p w:rsidR="0092745C" w:rsidRDefault="0092745C">
      <w:pPr>
        <w:pStyle w:val="ConsPlusNormal"/>
        <w:jc w:val="right"/>
      </w:pPr>
      <w:r>
        <w:t>27 июня 2019 года</w:t>
      </w:r>
    </w:p>
    <w:p w:rsidR="0092745C" w:rsidRDefault="0092745C">
      <w:pPr>
        <w:spacing w:after="1"/>
      </w:pPr>
    </w:p>
    <w:p w:rsidR="0092745C" w:rsidRDefault="0092745C">
      <w:pPr>
        <w:pStyle w:val="ConsPlusNormal"/>
        <w:jc w:val="both"/>
      </w:pPr>
      <w:bookmarkStart w:id="0" w:name="_GoBack"/>
      <w:bookmarkEnd w:id="0"/>
    </w:p>
    <w:p w:rsidR="0092745C" w:rsidRDefault="0092745C">
      <w:pPr>
        <w:pStyle w:val="ConsPlusTitle"/>
        <w:ind w:firstLine="540"/>
        <w:jc w:val="both"/>
        <w:outlineLvl w:val="0"/>
      </w:pPr>
      <w:r>
        <w:t>Статья 1</w:t>
      </w: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Normal"/>
        <w:ind w:firstLine="540"/>
        <w:jc w:val="both"/>
      </w:pPr>
      <w:bookmarkStart w:id="1" w:name="P18"/>
      <w:bookmarkEnd w:id="1"/>
      <w:r>
        <w:t xml:space="preserve">1. </w:t>
      </w:r>
      <w:proofErr w:type="gramStart"/>
      <w:r>
        <w:t xml:space="preserve">Установить право на применение инвестиционного налогового вычета текущего налогового (отчетного) периода в отношении расходов налогоплательщика, указанных в </w:t>
      </w:r>
      <w:hyperlink r:id="rId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6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Тульской области", за исключением организаций, основным видом предпринимательской деятельности которых является розничная торговля или сдача внаем</w:t>
      </w:r>
      <w:proofErr w:type="gramEnd"/>
      <w:r>
        <w:t xml:space="preserve"> собственного недвижимого имущества, организаций, использующих налоговые льготы по налогу на прибыль организаций 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Законом</w:t>
        </w:r>
      </w:hyperlink>
      <w:r>
        <w:t xml:space="preserve"> Тульской области от 6 февраля 2010 года N 1390-ЗТО "О льготном налогообложении при осуществлении инвестиционной деятельности в форме капитальных вложений на территории Тульской области".</w:t>
      </w:r>
    </w:p>
    <w:p w:rsidR="0092745C" w:rsidRDefault="0092745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28.11.2019 N 127-ЗТО)</w:t>
      </w:r>
    </w:p>
    <w:p w:rsidR="0092745C" w:rsidRDefault="0092745C">
      <w:pPr>
        <w:pStyle w:val="ConsPlusNormal"/>
        <w:spacing w:before="220"/>
        <w:ind w:firstLine="540"/>
        <w:jc w:val="both"/>
      </w:pPr>
      <w:r>
        <w:t xml:space="preserve">1-1. Инвестиционный налоговый вычет текущего налогового (отчетного) периода, </w:t>
      </w:r>
      <w:proofErr w:type="gramStart"/>
      <w:r>
        <w:t>право</w:t>
      </w:r>
      <w:proofErr w:type="gramEnd"/>
      <w:r>
        <w:t xml:space="preserve"> на применение которого предоставляется в соответствии с </w:t>
      </w:r>
      <w:hyperlink w:anchor="P18" w:history="1">
        <w:r>
          <w:rPr>
            <w:color w:val="0000FF"/>
          </w:rPr>
          <w:t>частью 1</w:t>
        </w:r>
      </w:hyperlink>
      <w:r>
        <w:t xml:space="preserve"> настоящей статьи, применяется к объектам основных средств, предусмотренных </w:t>
      </w:r>
      <w:hyperlink r:id="rId9" w:history="1">
        <w:r>
          <w:rPr>
            <w:color w:val="0000FF"/>
          </w:rPr>
          <w:t>абзацем первым пункта 4 статьи 286.1</w:t>
        </w:r>
      </w:hyperlink>
      <w:r>
        <w:t xml:space="preserve"> Налогового кодекса Российской Федерации, за исключением легковых автомобилей, включенных в Перечень легковых автомобилей средней стоимостью от 3 миллионов рублей, утверждаемый в соответствии с </w:t>
      </w:r>
      <w:hyperlink r:id="rId10" w:history="1">
        <w:r>
          <w:rPr>
            <w:color w:val="0000FF"/>
          </w:rPr>
          <w:t>пунктом 2 статьи 362</w:t>
        </w:r>
      </w:hyperlink>
      <w:r>
        <w:t xml:space="preserve"> Налогового кодекса Российской Федерации, и мотоциклов.</w:t>
      </w:r>
    </w:p>
    <w:p w:rsidR="0092745C" w:rsidRDefault="0092745C">
      <w:pPr>
        <w:pStyle w:val="ConsPlusNormal"/>
        <w:jc w:val="both"/>
      </w:pPr>
      <w:r>
        <w:t xml:space="preserve">(часть 1-1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28.11.2019 N 127-ЗТО)</w:t>
      </w:r>
    </w:p>
    <w:p w:rsidR="0092745C" w:rsidRDefault="0092745C">
      <w:pPr>
        <w:pStyle w:val="ConsPlusNormal"/>
        <w:spacing w:before="220"/>
        <w:ind w:firstLine="540"/>
        <w:jc w:val="both"/>
      </w:pPr>
      <w:r>
        <w:t xml:space="preserve">2. Размер инвестиционного налогового вычета текущего налогового (отчетного) периода, </w:t>
      </w:r>
      <w:proofErr w:type="gramStart"/>
      <w:r>
        <w:t>право</w:t>
      </w:r>
      <w:proofErr w:type="gramEnd"/>
      <w:r>
        <w:t xml:space="preserve"> на применение которого предоставляется в соответствии с </w:t>
      </w:r>
      <w:hyperlink w:anchor="P18" w:history="1">
        <w:r>
          <w:rPr>
            <w:color w:val="0000FF"/>
          </w:rPr>
          <w:t>частью 1</w:t>
        </w:r>
      </w:hyperlink>
      <w:r>
        <w:t xml:space="preserve"> настоящей статьи, составляет 60 процентов суммы расходов, составляющей первоначальную стоимость основного средства в соответствии с </w:t>
      </w:r>
      <w:hyperlink r:id="rId12" w:history="1">
        <w:r>
          <w:rPr>
            <w:color w:val="0000FF"/>
          </w:rPr>
          <w:t>абзацем вторым пункта 1 статьи 257</w:t>
        </w:r>
      </w:hyperlink>
      <w:r>
        <w:t xml:space="preserve"> Налогового кодекса Российской Федерации, и суммы расходов, составляющей величину изменения первоначальной стоимости основного средства в случаях, указанных в </w:t>
      </w:r>
      <w:hyperlink r:id="rId13" w:history="1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 Федерации (за исключением частичной ликвидации основного средства), и не может быть </w:t>
      </w:r>
      <w:proofErr w:type="gramStart"/>
      <w:r>
        <w:t>более предельной</w:t>
      </w:r>
      <w:proofErr w:type="gramEnd"/>
      <w:r>
        <w:t xml:space="preserve"> величины инвестиционного налогового вычета.</w:t>
      </w:r>
    </w:p>
    <w:p w:rsidR="0092745C" w:rsidRDefault="0092745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28.11.2019 N 127-ЗТО)</w:t>
      </w:r>
    </w:p>
    <w:p w:rsidR="0092745C" w:rsidRDefault="0092745C">
      <w:pPr>
        <w:pStyle w:val="ConsPlusNormal"/>
        <w:spacing w:before="220"/>
        <w:ind w:firstLine="540"/>
        <w:jc w:val="both"/>
      </w:pPr>
      <w:r>
        <w:t>3. Размер ставки для определения предельной величины инвестиционного налогового вычета текущего налогового (отчетного) периода составляет 8 процентов.</w:t>
      </w:r>
    </w:p>
    <w:p w:rsidR="0092745C" w:rsidRDefault="009274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Тульской области от 28.11.2019 N 127-ЗТО)</w:t>
      </w:r>
    </w:p>
    <w:p w:rsidR="0092745C" w:rsidRDefault="009274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Сумма расходов налогоплательщика, указанных в </w:t>
      </w:r>
      <w:hyperlink w:anchor="P18" w:history="1">
        <w:r>
          <w:rPr>
            <w:color w:val="0000FF"/>
          </w:rPr>
          <w:t>части 1</w:t>
        </w:r>
      </w:hyperlink>
      <w:r>
        <w:t xml:space="preserve"> настоящей статьи, превышающая в налоговом (отчетном) периоде предельную величину инвестиционного налогового вычета, может быть учтена в течение трех последовательных налоговых периодов, считая с налогового периода, следующего за налоговым периодом, в котором сумма таких </w:t>
      </w:r>
      <w:r>
        <w:lastRenderedPageBreak/>
        <w:t>расходов превысила предельную величину инвестиционного налогового вычета.</w:t>
      </w:r>
      <w:proofErr w:type="gramEnd"/>
    </w:p>
    <w:p w:rsidR="0092745C" w:rsidRDefault="00927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Тульской области от 28.11.2019 N 127-ЗТО)</w:t>
      </w: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Title"/>
        <w:ind w:firstLine="540"/>
        <w:jc w:val="both"/>
        <w:outlineLvl w:val="0"/>
      </w:pPr>
      <w:r>
        <w:t>Статья 2</w:t>
      </w: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Normal"/>
        <w:jc w:val="right"/>
      </w:pPr>
      <w:r>
        <w:t>Губернатор</w:t>
      </w:r>
    </w:p>
    <w:p w:rsidR="0092745C" w:rsidRDefault="0092745C">
      <w:pPr>
        <w:pStyle w:val="ConsPlusNormal"/>
        <w:jc w:val="right"/>
      </w:pPr>
      <w:r>
        <w:t>Тульской области</w:t>
      </w:r>
    </w:p>
    <w:p w:rsidR="0092745C" w:rsidRDefault="0092745C">
      <w:pPr>
        <w:pStyle w:val="ConsPlusNormal"/>
        <w:jc w:val="right"/>
      </w:pPr>
      <w:r>
        <w:t>А.Г.ДЮМИН</w:t>
      </w:r>
    </w:p>
    <w:p w:rsidR="0092745C" w:rsidRDefault="0092745C">
      <w:pPr>
        <w:pStyle w:val="ConsPlusNormal"/>
      </w:pPr>
      <w:r>
        <w:t>г. Тула</w:t>
      </w:r>
    </w:p>
    <w:p w:rsidR="0092745C" w:rsidRDefault="0092745C">
      <w:pPr>
        <w:pStyle w:val="ConsPlusNormal"/>
        <w:spacing w:before="220"/>
      </w:pPr>
      <w:r>
        <w:t>1 июля 2019 года</w:t>
      </w:r>
    </w:p>
    <w:p w:rsidR="0092745C" w:rsidRDefault="0092745C">
      <w:pPr>
        <w:pStyle w:val="ConsPlusNormal"/>
        <w:spacing w:before="220"/>
      </w:pPr>
      <w:r>
        <w:t>N 51-ЗТО</w:t>
      </w: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Normal"/>
        <w:jc w:val="both"/>
      </w:pPr>
    </w:p>
    <w:p w:rsidR="0092745C" w:rsidRDefault="00927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36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C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2AE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2745C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059D0D3F7B7964D62F70440F3D3C5EBEF61EBF845DFD56A7DF18FAE9B7F0236901194D872918E2227DBFCFC7CF62A7B4665B531CB500B3191B843gBy1M" TargetMode="External"/><Relationship Id="rId13" Type="http://schemas.openxmlformats.org/officeDocument/2006/relationships/hyperlink" Target="consultantplus://offline/ref=73F059D0D3F7B7964D62E909569F8DCEEFE73EE6F140D483302AF7D8F1CB795776D017C19B349C87232C8FADB022AF7A360D69B626D75108g2y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059D0D3F7B7964D62F70440F3D3C5EBEF61EBF046DBD46D75AC85A6C27300319F4E91DF63918E2B39DAFEEA75A27Ag3y6M" TargetMode="External"/><Relationship Id="rId12" Type="http://schemas.openxmlformats.org/officeDocument/2006/relationships/hyperlink" Target="consultantplus://offline/ref=73F059D0D3F7B7964D62E909569F8DCEEFE73EE6F140D483302AF7D8F1CB795776D017C499319C8476769FA9F976AB653E1176B638D4g5y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F059D0D3F7B7964D62F70440F3D3C5EBEF61EBF845DFD56A7DF18FAE9B7F0236901194D872918E2227DBFDF77CF62A7B4665B531CB500B3191B843gBy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059D0D3F7B7964D62E909569F8DCEEFE73EE6F140D483302AF7D8F1CB795776D017C19C369D8629738AB8A17AA37221126AAA3AD550g0y0M" TargetMode="External"/><Relationship Id="rId11" Type="http://schemas.openxmlformats.org/officeDocument/2006/relationships/hyperlink" Target="consultantplus://offline/ref=73F059D0D3F7B7964D62F70440F3D3C5EBEF61EBF845DFD56A7DF18FAE9B7F0236901194D872918E2227DBFCFD7CF62A7B4665B531CB500B3191B843gBy1M" TargetMode="External"/><Relationship Id="rId5" Type="http://schemas.openxmlformats.org/officeDocument/2006/relationships/hyperlink" Target="consultantplus://offline/ref=73F059D0D3F7B7964D62E909569F8DCEEFE73EE6F140D483302AF7D8F1CB795776D017C19C369D8729738AB8A17AA37221126AAA3AD550g0y0M" TargetMode="External"/><Relationship Id="rId15" Type="http://schemas.openxmlformats.org/officeDocument/2006/relationships/hyperlink" Target="consultantplus://offline/ref=73F059D0D3F7B7964D62F70440F3D3C5EBEF61EBF845DFD56A7DF18FAE9B7F0236901194D872918E2227DBFDF67CF62A7B4665B531CB500B3191B843gBy1M" TargetMode="External"/><Relationship Id="rId10" Type="http://schemas.openxmlformats.org/officeDocument/2006/relationships/hyperlink" Target="consultantplus://offline/ref=73F059D0D3F7B7964D62E909569F8DCEEFE73EE6F140D483302AF7D8F1CB795776D017C298359F8476769FA9F976AB653E1176B638D4g5y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059D0D3F7B7964D62E909569F8DCEEFE73EE6F140D483302AF7D8F1CB795776D017C19C369E8C29738AB8A17AA37221126AAA3AD550g0y0M" TargetMode="External"/><Relationship Id="rId14" Type="http://schemas.openxmlformats.org/officeDocument/2006/relationships/hyperlink" Target="consultantplus://offline/ref=73F059D0D3F7B7964D62F70440F3D3C5EBEF61EBF845DFD56A7DF18FAE9B7F0236901194D872918E2227DBFDF57CF62A7B4665B531CB500B3191B843gB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2</cp:revision>
  <dcterms:created xsi:type="dcterms:W3CDTF">2019-12-19T12:50:00Z</dcterms:created>
  <dcterms:modified xsi:type="dcterms:W3CDTF">2019-12-19T13:11:00Z</dcterms:modified>
</cp:coreProperties>
</file>